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52494" w14:textId="77777777" w:rsidR="0059412B" w:rsidRDefault="0059412B" w:rsidP="00FD492C">
      <w:pPr>
        <w:jc w:val="center"/>
        <w:rPr>
          <w:b/>
          <w:sz w:val="28"/>
          <w:szCs w:val="28"/>
          <w:lang w:val="en-GB"/>
        </w:rPr>
      </w:pPr>
    </w:p>
    <w:p w14:paraId="6BE93620" w14:textId="77777777" w:rsidR="0059412B" w:rsidRDefault="0059412B" w:rsidP="00FD492C">
      <w:pPr>
        <w:jc w:val="center"/>
        <w:rPr>
          <w:b/>
          <w:sz w:val="28"/>
          <w:szCs w:val="28"/>
          <w:lang w:val="en-GB"/>
        </w:rPr>
      </w:pPr>
    </w:p>
    <w:p w14:paraId="3EF29645" w14:textId="4E15D517" w:rsidR="0023155F" w:rsidRPr="0059412B" w:rsidRDefault="005E426B" w:rsidP="00FD492C">
      <w:pPr>
        <w:jc w:val="center"/>
        <w:rPr>
          <w:b/>
          <w:sz w:val="36"/>
          <w:szCs w:val="36"/>
          <w:lang w:val="en-GB"/>
        </w:rPr>
      </w:pPr>
      <w:r w:rsidRPr="0059412B">
        <w:rPr>
          <w:b/>
          <w:sz w:val="36"/>
          <w:szCs w:val="36"/>
          <w:lang w:val="en-GB"/>
        </w:rPr>
        <w:t>I</w:t>
      </w:r>
      <w:r w:rsidR="00247287" w:rsidRPr="0059412B">
        <w:rPr>
          <w:b/>
          <w:sz w:val="36"/>
          <w:szCs w:val="36"/>
          <w:lang w:val="en-GB"/>
        </w:rPr>
        <w:t>ncidence of</w:t>
      </w:r>
      <w:r w:rsidR="003A3D48" w:rsidRPr="0059412B">
        <w:rPr>
          <w:b/>
          <w:sz w:val="36"/>
          <w:szCs w:val="36"/>
          <w:lang w:val="en-GB"/>
        </w:rPr>
        <w:t xml:space="preserve"> </w:t>
      </w:r>
      <w:r w:rsidR="005645DB" w:rsidRPr="0059412B">
        <w:rPr>
          <w:b/>
          <w:sz w:val="36"/>
          <w:szCs w:val="36"/>
          <w:lang w:val="en-GB"/>
        </w:rPr>
        <w:t>injuries</w:t>
      </w:r>
      <w:r w:rsidR="00247287" w:rsidRPr="0059412B">
        <w:rPr>
          <w:b/>
          <w:sz w:val="36"/>
          <w:szCs w:val="36"/>
          <w:lang w:val="en-GB"/>
        </w:rPr>
        <w:t xml:space="preserve"> in Norway</w:t>
      </w:r>
      <w:r w:rsidR="003A3D48" w:rsidRPr="0059412B">
        <w:rPr>
          <w:b/>
          <w:sz w:val="36"/>
          <w:szCs w:val="36"/>
          <w:lang w:val="en-GB"/>
        </w:rPr>
        <w:t>: linking primary and s</w:t>
      </w:r>
      <w:r w:rsidR="00A43CA5">
        <w:rPr>
          <w:b/>
          <w:sz w:val="36"/>
          <w:szCs w:val="36"/>
          <w:lang w:val="en-GB"/>
        </w:rPr>
        <w:t>econdary</w:t>
      </w:r>
      <w:r w:rsidR="003A3D48" w:rsidRPr="0059412B">
        <w:rPr>
          <w:b/>
          <w:sz w:val="36"/>
          <w:szCs w:val="36"/>
          <w:lang w:val="en-GB"/>
        </w:rPr>
        <w:t xml:space="preserve"> care data</w:t>
      </w:r>
    </w:p>
    <w:p w14:paraId="126ABCC6" w14:textId="401DE4DA" w:rsidR="0059412B" w:rsidRPr="00015AEC" w:rsidRDefault="00A45745" w:rsidP="006F2C6A">
      <w:pPr>
        <w:spacing w:line="360" w:lineRule="auto"/>
        <w:jc w:val="center"/>
        <w:rPr>
          <w:lang w:val="en-GB"/>
        </w:rPr>
      </w:pPr>
      <w:r>
        <w:rPr>
          <w:b/>
          <w:lang w:val="en-GB"/>
        </w:rPr>
        <w:t xml:space="preserve">Eyvind Ohm, </w:t>
      </w:r>
      <w:r w:rsidR="00015AEC" w:rsidRPr="00015AEC">
        <w:rPr>
          <w:b/>
          <w:lang w:val="en-GB"/>
        </w:rPr>
        <w:t>Kristin Holvik</w:t>
      </w:r>
      <w:r>
        <w:rPr>
          <w:b/>
          <w:lang w:val="en-GB"/>
        </w:rPr>
        <w:t>, Christian Madsen, Kari Alver</w:t>
      </w:r>
      <w:r w:rsidR="002E7F8E" w:rsidRPr="00015AEC">
        <w:rPr>
          <w:b/>
          <w:lang w:val="en-GB"/>
        </w:rPr>
        <w:t xml:space="preserve"> &amp; Johan Lund</w:t>
      </w:r>
    </w:p>
    <w:p w14:paraId="447203A2" w14:textId="27CEE393" w:rsidR="00C432FB" w:rsidRPr="00DB6D6E" w:rsidRDefault="0059412B" w:rsidP="006F2C6A">
      <w:pPr>
        <w:spacing w:line="360" w:lineRule="auto"/>
        <w:jc w:val="center"/>
        <w:rPr>
          <w:b/>
          <w:lang w:val="en-GB"/>
        </w:rPr>
      </w:pPr>
      <w:r w:rsidRPr="006F2C6A">
        <w:rPr>
          <w:b/>
          <w:lang w:val="en-GB"/>
        </w:rPr>
        <w:t>Norwegian Institute of Public Health</w:t>
      </w:r>
    </w:p>
    <w:p w14:paraId="2AB24651" w14:textId="77777777" w:rsidR="0059412B" w:rsidRDefault="0059412B" w:rsidP="00247287">
      <w:pPr>
        <w:spacing w:line="360" w:lineRule="auto"/>
        <w:rPr>
          <w:lang w:val="en-GB"/>
        </w:rPr>
      </w:pPr>
    </w:p>
    <w:p w14:paraId="5B721798" w14:textId="77777777" w:rsidR="006F2C6A" w:rsidRDefault="006F2C6A" w:rsidP="00247287">
      <w:pPr>
        <w:spacing w:line="360" w:lineRule="auto"/>
        <w:rPr>
          <w:lang w:val="en-GB"/>
        </w:rPr>
      </w:pPr>
    </w:p>
    <w:p w14:paraId="631D5234" w14:textId="77777777" w:rsidR="00100BFB" w:rsidRDefault="00100BFB" w:rsidP="00247287">
      <w:pPr>
        <w:spacing w:line="360" w:lineRule="auto"/>
        <w:rPr>
          <w:lang w:val="en-GB"/>
        </w:rPr>
      </w:pPr>
    </w:p>
    <w:p w14:paraId="76E7783E" w14:textId="77777777" w:rsidR="00100BFB" w:rsidRDefault="00100BFB" w:rsidP="00247287">
      <w:pPr>
        <w:spacing w:line="360" w:lineRule="auto"/>
        <w:rPr>
          <w:lang w:val="en-GB"/>
        </w:rPr>
      </w:pPr>
    </w:p>
    <w:p w14:paraId="28FCDD2F" w14:textId="77777777" w:rsidR="00100BFB" w:rsidRDefault="00100BFB" w:rsidP="00247287">
      <w:pPr>
        <w:spacing w:line="360" w:lineRule="auto"/>
        <w:rPr>
          <w:lang w:val="en-GB"/>
        </w:rPr>
      </w:pPr>
    </w:p>
    <w:p w14:paraId="4E61E1AF" w14:textId="6C4389AC" w:rsidR="0059412B" w:rsidRDefault="0059412B" w:rsidP="00247287">
      <w:pPr>
        <w:spacing w:line="360" w:lineRule="auto"/>
        <w:rPr>
          <w:lang w:val="en-GB"/>
        </w:rPr>
      </w:pPr>
      <w:r w:rsidRPr="006F2C6A">
        <w:rPr>
          <w:b/>
          <w:lang w:val="en-GB"/>
        </w:rPr>
        <w:t>Corre</w:t>
      </w:r>
      <w:r w:rsidR="006F2C6A" w:rsidRPr="006F2C6A">
        <w:rPr>
          <w:b/>
          <w:lang w:val="en-GB"/>
        </w:rPr>
        <w:t>sponding author</w:t>
      </w:r>
      <w:r>
        <w:rPr>
          <w:lang w:val="en-GB"/>
        </w:rPr>
        <w:t xml:space="preserve">: </w:t>
      </w:r>
    </w:p>
    <w:p w14:paraId="3EC51C01" w14:textId="77777777" w:rsidR="0059412B" w:rsidRDefault="0059412B" w:rsidP="00247287">
      <w:pPr>
        <w:spacing w:line="360" w:lineRule="auto"/>
        <w:rPr>
          <w:lang w:val="en-GB"/>
        </w:rPr>
      </w:pPr>
      <w:r>
        <w:rPr>
          <w:lang w:val="en-GB"/>
        </w:rPr>
        <w:t>Eyvind Ohm</w:t>
      </w:r>
    </w:p>
    <w:p w14:paraId="560B4AE8" w14:textId="5090C7D5" w:rsidR="0059412B" w:rsidRDefault="0059412B" w:rsidP="00247287">
      <w:pPr>
        <w:spacing w:line="360" w:lineRule="auto"/>
        <w:rPr>
          <w:lang w:val="en-GB"/>
        </w:rPr>
      </w:pPr>
      <w:r>
        <w:rPr>
          <w:lang w:val="en-GB"/>
        </w:rPr>
        <w:t>Norwegian Institute of Public Health</w:t>
      </w:r>
    </w:p>
    <w:p w14:paraId="4058A18C" w14:textId="6E569803" w:rsidR="0059412B" w:rsidRDefault="0059412B" w:rsidP="00247287">
      <w:pPr>
        <w:spacing w:line="360" w:lineRule="auto"/>
        <w:rPr>
          <w:lang w:val="en-GB"/>
        </w:rPr>
      </w:pPr>
      <w:r>
        <w:rPr>
          <w:lang w:val="en-GB"/>
        </w:rPr>
        <w:t xml:space="preserve">PO Box </w:t>
      </w:r>
      <w:r w:rsidR="00100BFB">
        <w:rPr>
          <w:lang w:val="en-GB"/>
        </w:rPr>
        <w:t xml:space="preserve">222 </w:t>
      </w:r>
      <w:proofErr w:type="spellStart"/>
      <w:r w:rsidR="00100BFB">
        <w:rPr>
          <w:lang w:val="en-GB"/>
        </w:rPr>
        <w:t>Skøyen</w:t>
      </w:r>
      <w:proofErr w:type="spellEnd"/>
      <w:r w:rsidR="00100BFB">
        <w:rPr>
          <w:lang w:val="en-GB"/>
        </w:rPr>
        <w:t>, 021</w:t>
      </w:r>
      <w:r>
        <w:rPr>
          <w:lang w:val="en-GB"/>
        </w:rPr>
        <w:t xml:space="preserve">3 Oslo </w:t>
      </w:r>
    </w:p>
    <w:p w14:paraId="4D945279" w14:textId="77777777" w:rsidR="0059412B" w:rsidRDefault="0059412B" w:rsidP="00247287">
      <w:pPr>
        <w:spacing w:line="360" w:lineRule="auto"/>
        <w:rPr>
          <w:lang w:val="en-GB"/>
        </w:rPr>
      </w:pPr>
      <w:r>
        <w:rPr>
          <w:lang w:val="en-GB"/>
        </w:rPr>
        <w:t>Norway</w:t>
      </w:r>
    </w:p>
    <w:p w14:paraId="1484890A" w14:textId="27ACC946" w:rsidR="0059412B" w:rsidRDefault="0059412B" w:rsidP="00247287">
      <w:pPr>
        <w:spacing w:line="360" w:lineRule="auto"/>
        <w:rPr>
          <w:lang w:val="en-GB"/>
        </w:rPr>
      </w:pPr>
      <w:r>
        <w:rPr>
          <w:lang w:val="en-GB"/>
        </w:rPr>
        <w:t>Email: Eyvind.Ohm@fhi.no</w:t>
      </w:r>
    </w:p>
    <w:p w14:paraId="7C736DE5" w14:textId="77777777" w:rsidR="009C7BB2" w:rsidRDefault="009C7BB2" w:rsidP="00247287">
      <w:pPr>
        <w:spacing w:line="360" w:lineRule="auto"/>
        <w:rPr>
          <w:lang w:val="en-GB"/>
        </w:rPr>
      </w:pPr>
    </w:p>
    <w:p w14:paraId="734BEDEA" w14:textId="77777777" w:rsidR="009C7BB2" w:rsidRDefault="009C7BB2" w:rsidP="00247287">
      <w:pPr>
        <w:spacing w:line="360" w:lineRule="auto"/>
        <w:rPr>
          <w:lang w:val="en-GB"/>
        </w:rPr>
      </w:pPr>
    </w:p>
    <w:p w14:paraId="42F3106F" w14:textId="77777777" w:rsidR="009C7BB2" w:rsidRDefault="009C7BB2" w:rsidP="00247287">
      <w:pPr>
        <w:spacing w:line="360" w:lineRule="auto"/>
        <w:rPr>
          <w:lang w:val="en-GB"/>
        </w:rPr>
      </w:pPr>
    </w:p>
    <w:p w14:paraId="01CA57DB" w14:textId="77777777" w:rsidR="009C7BB2" w:rsidRDefault="009C7BB2" w:rsidP="00247287">
      <w:pPr>
        <w:spacing w:line="360" w:lineRule="auto"/>
        <w:rPr>
          <w:lang w:val="en-GB"/>
        </w:rPr>
      </w:pPr>
    </w:p>
    <w:p w14:paraId="4A9924C1" w14:textId="77777777" w:rsidR="009C7BB2" w:rsidRDefault="009C7BB2" w:rsidP="00247287">
      <w:pPr>
        <w:spacing w:line="360" w:lineRule="auto"/>
        <w:rPr>
          <w:lang w:val="en-GB"/>
        </w:rPr>
      </w:pPr>
    </w:p>
    <w:p w14:paraId="4CF00099" w14:textId="10A39A9F" w:rsidR="005E426B" w:rsidRPr="007F6F95" w:rsidRDefault="005E426B" w:rsidP="00247287">
      <w:pPr>
        <w:spacing w:line="360" w:lineRule="auto"/>
        <w:rPr>
          <w:b/>
          <w:lang w:val="en-GB"/>
        </w:rPr>
      </w:pPr>
      <w:r w:rsidRPr="007F6F95">
        <w:rPr>
          <w:b/>
          <w:lang w:val="en-GB"/>
        </w:rPr>
        <w:lastRenderedPageBreak/>
        <w:t>ABSTRACT</w:t>
      </w:r>
    </w:p>
    <w:p w14:paraId="6B78FD81" w14:textId="57ED23E3" w:rsidR="000149B5" w:rsidRDefault="006F2C6A" w:rsidP="00505368">
      <w:pPr>
        <w:spacing w:line="360" w:lineRule="auto"/>
        <w:rPr>
          <w:lang w:val="en-GB"/>
        </w:rPr>
      </w:pPr>
      <w:r w:rsidRPr="002E7F8E">
        <w:rPr>
          <w:i/>
          <w:lang w:val="en-GB"/>
        </w:rPr>
        <w:t>Aims</w:t>
      </w:r>
      <w:r>
        <w:rPr>
          <w:lang w:val="en-GB"/>
        </w:rPr>
        <w:t>:</w:t>
      </w:r>
      <w:r w:rsidR="00064F57">
        <w:rPr>
          <w:lang w:val="en-GB"/>
        </w:rPr>
        <w:t xml:space="preserve"> </w:t>
      </w:r>
      <w:r w:rsidR="00907832">
        <w:rPr>
          <w:lang w:val="en-GB"/>
        </w:rPr>
        <w:t>Most studies of i</w:t>
      </w:r>
      <w:r w:rsidR="00064F57">
        <w:rPr>
          <w:lang w:val="en-GB"/>
        </w:rPr>
        <w:t>njury incidence</w:t>
      </w:r>
      <w:r w:rsidR="001B6B13">
        <w:rPr>
          <w:lang w:val="en-GB"/>
        </w:rPr>
        <w:t xml:space="preserve"> underestimate</w:t>
      </w:r>
      <w:r w:rsidR="00907832">
        <w:rPr>
          <w:lang w:val="en-GB"/>
        </w:rPr>
        <w:t xml:space="preserve"> the tota</w:t>
      </w:r>
      <w:r w:rsidR="007F6F95">
        <w:rPr>
          <w:lang w:val="en-GB"/>
        </w:rPr>
        <w:t>l burden of injury</w:t>
      </w:r>
      <w:r w:rsidR="00310BDB">
        <w:rPr>
          <w:lang w:val="en-GB"/>
        </w:rPr>
        <w:t>,</w:t>
      </w:r>
      <w:r w:rsidR="007F6F95">
        <w:rPr>
          <w:lang w:val="en-GB"/>
        </w:rPr>
        <w:t xml:space="preserve"> as they do not include</w:t>
      </w:r>
      <w:r w:rsidR="00907832">
        <w:rPr>
          <w:lang w:val="en-GB"/>
        </w:rPr>
        <w:t xml:space="preserve"> injuries treated in primary care. </w:t>
      </w:r>
      <w:r w:rsidR="00064F57">
        <w:rPr>
          <w:lang w:val="en-GB"/>
        </w:rPr>
        <w:t xml:space="preserve">The aim of this study was to measure the </w:t>
      </w:r>
      <w:r w:rsidR="0010564C">
        <w:rPr>
          <w:lang w:val="en-GB"/>
        </w:rPr>
        <w:t xml:space="preserve">total </w:t>
      </w:r>
      <w:r w:rsidR="00064F57">
        <w:rPr>
          <w:lang w:val="en-GB"/>
        </w:rPr>
        <w:t>incidence of medically treated injuries in</w:t>
      </w:r>
      <w:r w:rsidR="007F6F95">
        <w:rPr>
          <w:lang w:val="en-GB"/>
        </w:rPr>
        <w:t xml:space="preserve"> Norway</w:t>
      </w:r>
      <w:r w:rsidR="00064F57">
        <w:rPr>
          <w:lang w:val="en-GB"/>
        </w:rPr>
        <w:t>.</w:t>
      </w:r>
      <w:r w:rsidR="00E26894">
        <w:rPr>
          <w:lang w:val="en-GB"/>
        </w:rPr>
        <w:t xml:space="preserve"> We further investigate</w:t>
      </w:r>
      <w:r w:rsidR="00541145">
        <w:rPr>
          <w:lang w:val="en-GB"/>
        </w:rPr>
        <w:t>d</w:t>
      </w:r>
      <w:r w:rsidR="00E26894">
        <w:rPr>
          <w:lang w:val="en-GB"/>
        </w:rPr>
        <w:t xml:space="preserve"> the epidemiology of injuries treated in primary and secondary care.</w:t>
      </w:r>
      <w:r w:rsidR="00907832">
        <w:rPr>
          <w:lang w:val="en-GB"/>
        </w:rPr>
        <w:t xml:space="preserve"> </w:t>
      </w:r>
      <w:r w:rsidRPr="002E7F8E">
        <w:rPr>
          <w:i/>
          <w:lang w:val="en-GB"/>
        </w:rPr>
        <w:t>Methods</w:t>
      </w:r>
      <w:r>
        <w:rPr>
          <w:lang w:val="en-GB"/>
        </w:rPr>
        <w:t>:</w:t>
      </w:r>
      <w:r w:rsidR="005B6DAC">
        <w:rPr>
          <w:lang w:val="en-GB"/>
        </w:rPr>
        <w:t xml:space="preserve"> We collected individual-leve</w:t>
      </w:r>
      <w:r w:rsidR="00FC33D0">
        <w:rPr>
          <w:lang w:val="en-GB"/>
        </w:rPr>
        <w:t>l data on injury diagnoses from</w:t>
      </w:r>
      <w:r w:rsidR="00240805">
        <w:rPr>
          <w:lang w:val="en-GB"/>
        </w:rPr>
        <w:t xml:space="preserve"> </w:t>
      </w:r>
      <w:r w:rsidR="005B6DAC">
        <w:rPr>
          <w:lang w:val="en-GB"/>
        </w:rPr>
        <w:t xml:space="preserve">the </w:t>
      </w:r>
      <w:r w:rsidR="00240805">
        <w:rPr>
          <w:lang w:val="en-GB"/>
        </w:rPr>
        <w:t>Norwegian Patient Registry</w:t>
      </w:r>
      <w:r w:rsidR="005B6DAC">
        <w:rPr>
          <w:lang w:val="en-GB"/>
        </w:rPr>
        <w:t xml:space="preserve"> and the national registry dataset for reimbursement of primary care prov</w:t>
      </w:r>
      <w:r w:rsidR="001C721B">
        <w:rPr>
          <w:lang w:val="en-GB"/>
        </w:rPr>
        <w:t xml:space="preserve">iders for the period 2009-2014, and </w:t>
      </w:r>
      <w:r w:rsidR="005B6DAC">
        <w:rPr>
          <w:lang w:val="en-GB"/>
        </w:rPr>
        <w:t xml:space="preserve">estimated the </w:t>
      </w:r>
      <w:r w:rsidR="0041614F">
        <w:rPr>
          <w:lang w:val="en-GB"/>
        </w:rPr>
        <w:t xml:space="preserve">annual </w:t>
      </w:r>
      <w:r w:rsidR="001B6B13">
        <w:rPr>
          <w:lang w:val="en-GB"/>
        </w:rPr>
        <w:t xml:space="preserve">incidence of </w:t>
      </w:r>
      <w:r w:rsidR="005B6DAC">
        <w:rPr>
          <w:lang w:val="en-GB"/>
        </w:rPr>
        <w:t>patients registered with an injury diagnosis</w:t>
      </w:r>
      <w:r w:rsidR="00240805">
        <w:rPr>
          <w:lang w:val="en-GB"/>
        </w:rPr>
        <w:t xml:space="preserve"> in either or both of these registries</w:t>
      </w:r>
      <w:r w:rsidR="005B6DAC">
        <w:rPr>
          <w:lang w:val="en-GB"/>
        </w:rPr>
        <w:t xml:space="preserve">. </w:t>
      </w:r>
      <w:r w:rsidR="001C721B">
        <w:rPr>
          <w:lang w:val="en-GB"/>
        </w:rPr>
        <w:t xml:space="preserve">We also converted </w:t>
      </w:r>
      <w:r w:rsidR="00D979FE">
        <w:rPr>
          <w:lang w:val="en-GB"/>
        </w:rPr>
        <w:t>ICD-10 codes i</w:t>
      </w:r>
      <w:r w:rsidR="001C721B">
        <w:rPr>
          <w:lang w:val="en-GB"/>
        </w:rPr>
        <w:t>n s</w:t>
      </w:r>
      <w:r w:rsidR="00A43CA5">
        <w:rPr>
          <w:lang w:val="en-GB"/>
        </w:rPr>
        <w:t>econdary</w:t>
      </w:r>
      <w:r w:rsidR="001C721B">
        <w:rPr>
          <w:lang w:val="en-GB"/>
        </w:rPr>
        <w:t xml:space="preserve"> care</w:t>
      </w:r>
      <w:r w:rsidR="00D979FE">
        <w:rPr>
          <w:lang w:val="en-GB"/>
        </w:rPr>
        <w:t xml:space="preserve"> into ICPC-2 codes to compare </w:t>
      </w:r>
      <w:r w:rsidR="005B6DAC">
        <w:rPr>
          <w:lang w:val="en-GB"/>
        </w:rPr>
        <w:t>the types of injuries treated in primar</w:t>
      </w:r>
      <w:r w:rsidR="00D979FE">
        <w:rPr>
          <w:lang w:val="en-GB"/>
        </w:rPr>
        <w:t>y and s</w:t>
      </w:r>
      <w:r w:rsidR="00A43CA5">
        <w:rPr>
          <w:lang w:val="en-GB"/>
        </w:rPr>
        <w:t>econdary</w:t>
      </w:r>
      <w:r w:rsidR="00D979FE">
        <w:rPr>
          <w:lang w:val="en-GB"/>
        </w:rPr>
        <w:t xml:space="preserve"> care</w:t>
      </w:r>
      <w:r w:rsidR="005B6DAC">
        <w:rPr>
          <w:lang w:val="en-GB"/>
        </w:rPr>
        <w:t xml:space="preserve">. </w:t>
      </w:r>
      <w:r w:rsidRPr="002E7F8E">
        <w:rPr>
          <w:i/>
          <w:lang w:val="en-GB"/>
        </w:rPr>
        <w:t>Results</w:t>
      </w:r>
      <w:r>
        <w:rPr>
          <w:lang w:val="en-GB"/>
        </w:rPr>
        <w:t>:</w:t>
      </w:r>
      <w:r w:rsidR="00F925A2">
        <w:rPr>
          <w:lang w:val="en-GB"/>
        </w:rPr>
        <w:t xml:space="preserve"> The annual incidence of medically trea</w:t>
      </w:r>
      <w:r w:rsidR="007F6F95">
        <w:rPr>
          <w:lang w:val="en-GB"/>
        </w:rPr>
        <w:t>ted injuries in Norway was 125</w:t>
      </w:r>
      <w:r w:rsidR="00F925A2">
        <w:rPr>
          <w:lang w:val="en-GB"/>
        </w:rPr>
        <w:t xml:space="preserve"> patients per 1000 </w:t>
      </w:r>
      <w:r w:rsidR="00907832">
        <w:rPr>
          <w:lang w:val="en-GB"/>
        </w:rPr>
        <w:t>in</w:t>
      </w:r>
      <w:r w:rsidR="007F6F95">
        <w:rPr>
          <w:lang w:val="en-GB"/>
        </w:rPr>
        <w:t xml:space="preserve">habitants. </w:t>
      </w:r>
      <w:proofErr w:type="gramStart"/>
      <w:r w:rsidR="00EC02F9">
        <w:rPr>
          <w:lang w:val="en-GB"/>
        </w:rPr>
        <w:t>55 per cent</w:t>
      </w:r>
      <w:proofErr w:type="gramEnd"/>
      <w:r w:rsidR="00EC02F9">
        <w:rPr>
          <w:lang w:val="en-GB"/>
        </w:rPr>
        <w:t xml:space="preserve"> of </w:t>
      </w:r>
      <w:r w:rsidR="005004EA">
        <w:rPr>
          <w:lang w:val="en-GB"/>
        </w:rPr>
        <w:t>injured</w:t>
      </w:r>
      <w:r w:rsidR="00EC02F9">
        <w:rPr>
          <w:lang w:val="en-GB"/>
        </w:rPr>
        <w:t xml:space="preserve"> patients </w:t>
      </w:r>
      <w:r w:rsidR="00822D01">
        <w:rPr>
          <w:lang w:val="en-GB"/>
        </w:rPr>
        <w:t>received</w:t>
      </w:r>
      <w:r w:rsidR="005B6DAC">
        <w:rPr>
          <w:lang w:val="en-GB"/>
        </w:rPr>
        <w:t xml:space="preserve"> treat</w:t>
      </w:r>
      <w:r w:rsidR="00822D01">
        <w:rPr>
          <w:lang w:val="en-GB"/>
        </w:rPr>
        <w:t>ment</w:t>
      </w:r>
      <w:r w:rsidR="005B6DAC">
        <w:rPr>
          <w:lang w:val="en-GB"/>
        </w:rPr>
        <w:t xml:space="preserve"> </w:t>
      </w:r>
      <w:r w:rsidR="00822D01">
        <w:rPr>
          <w:lang w:val="en-GB"/>
        </w:rPr>
        <w:t xml:space="preserve">exclusively </w:t>
      </w:r>
      <w:r w:rsidR="005B6DAC">
        <w:rPr>
          <w:lang w:val="en-GB"/>
        </w:rPr>
        <w:t>in primary car</w:t>
      </w:r>
      <w:r w:rsidR="000149B5">
        <w:rPr>
          <w:lang w:val="en-GB"/>
        </w:rPr>
        <w:t xml:space="preserve">e. </w:t>
      </w:r>
      <w:r w:rsidR="0071320A">
        <w:rPr>
          <w:lang w:val="en-GB"/>
        </w:rPr>
        <w:t>We observed stable t</w:t>
      </w:r>
      <w:r w:rsidR="00907832">
        <w:rPr>
          <w:lang w:val="en-GB"/>
        </w:rPr>
        <w:t xml:space="preserve">ime trends over the six-year period. </w:t>
      </w:r>
      <w:r w:rsidR="000149B5">
        <w:rPr>
          <w:lang w:val="en-GB"/>
        </w:rPr>
        <w:t>Incidence rates were higher in primary care for t</w:t>
      </w:r>
      <w:r w:rsidR="001B6B13">
        <w:rPr>
          <w:lang w:val="en-GB"/>
        </w:rPr>
        <w:t>he youngest children</w:t>
      </w:r>
      <w:r w:rsidR="000149B5">
        <w:rPr>
          <w:lang w:val="en-GB"/>
        </w:rPr>
        <w:t xml:space="preserve"> and in middle a</w:t>
      </w:r>
      <w:r w:rsidR="001B6B13">
        <w:rPr>
          <w:lang w:val="en-GB"/>
        </w:rPr>
        <w:t>dulthood</w:t>
      </w:r>
      <w:r w:rsidR="0041614F">
        <w:rPr>
          <w:lang w:val="en-GB"/>
        </w:rPr>
        <w:t xml:space="preserve">, but </w:t>
      </w:r>
      <w:r w:rsidR="0069105F">
        <w:rPr>
          <w:lang w:val="en-GB"/>
        </w:rPr>
        <w:t xml:space="preserve">were </w:t>
      </w:r>
      <w:r w:rsidR="0041614F">
        <w:rPr>
          <w:lang w:val="en-GB"/>
        </w:rPr>
        <w:t>higher in s</w:t>
      </w:r>
      <w:r w:rsidR="00A43CA5">
        <w:rPr>
          <w:lang w:val="en-GB"/>
        </w:rPr>
        <w:t>econdary</w:t>
      </w:r>
      <w:r w:rsidR="0041614F">
        <w:rPr>
          <w:lang w:val="en-GB"/>
        </w:rPr>
        <w:t xml:space="preserve"> care</w:t>
      </w:r>
      <w:r w:rsidR="007F6F95">
        <w:rPr>
          <w:lang w:val="en-GB"/>
        </w:rPr>
        <w:t xml:space="preserve"> for older people</w:t>
      </w:r>
      <w:r w:rsidR="0041614F">
        <w:rPr>
          <w:lang w:val="en-GB"/>
        </w:rPr>
        <w:t xml:space="preserve">. </w:t>
      </w:r>
      <w:r w:rsidR="00DD7130">
        <w:rPr>
          <w:lang w:val="en-GB"/>
        </w:rPr>
        <w:t>Overall, i</w:t>
      </w:r>
      <w:r w:rsidR="0041614F">
        <w:rPr>
          <w:lang w:val="en-GB"/>
        </w:rPr>
        <w:t xml:space="preserve">njury incidence was </w:t>
      </w:r>
      <w:r w:rsidR="00EC02F9">
        <w:rPr>
          <w:lang w:val="en-GB"/>
        </w:rPr>
        <w:t>higher for men</w:t>
      </w:r>
      <w:r w:rsidR="001C721B">
        <w:rPr>
          <w:lang w:val="en-GB"/>
        </w:rPr>
        <w:t xml:space="preserve">, but </w:t>
      </w:r>
      <w:r w:rsidR="000149B5">
        <w:rPr>
          <w:lang w:val="en-GB"/>
        </w:rPr>
        <w:t>women b</w:t>
      </w:r>
      <w:r w:rsidR="002F7113">
        <w:rPr>
          <w:lang w:val="en-GB"/>
        </w:rPr>
        <w:t>eca</w:t>
      </w:r>
      <w:r w:rsidR="000149B5">
        <w:rPr>
          <w:lang w:val="en-GB"/>
        </w:rPr>
        <w:t>me more injury prone</w:t>
      </w:r>
      <w:r w:rsidR="00DD7130">
        <w:rPr>
          <w:lang w:val="en-GB"/>
        </w:rPr>
        <w:t xml:space="preserve"> with age</w:t>
      </w:r>
      <w:r w:rsidR="000149B5">
        <w:rPr>
          <w:lang w:val="en-GB"/>
        </w:rPr>
        <w:t xml:space="preserve">. </w:t>
      </w:r>
      <w:r w:rsidR="002A5825">
        <w:rPr>
          <w:lang w:val="en-GB"/>
        </w:rPr>
        <w:t>We only observed t</w:t>
      </w:r>
      <w:r w:rsidR="000149B5">
        <w:rPr>
          <w:lang w:val="en-GB"/>
        </w:rPr>
        <w:t>his ge</w:t>
      </w:r>
      <w:r w:rsidR="002F7113">
        <w:rPr>
          <w:lang w:val="en-GB"/>
        </w:rPr>
        <w:t>nder reversal</w:t>
      </w:r>
      <w:r w:rsidR="00495372">
        <w:rPr>
          <w:lang w:val="en-GB"/>
        </w:rPr>
        <w:t xml:space="preserve"> in</w:t>
      </w:r>
      <w:r w:rsidR="000149B5">
        <w:rPr>
          <w:lang w:val="en-GB"/>
        </w:rPr>
        <w:t xml:space="preserve"> s</w:t>
      </w:r>
      <w:r w:rsidR="00A43CA5">
        <w:rPr>
          <w:lang w:val="en-GB"/>
        </w:rPr>
        <w:t>econdary</w:t>
      </w:r>
      <w:r w:rsidR="000149B5">
        <w:rPr>
          <w:lang w:val="en-GB"/>
        </w:rPr>
        <w:t xml:space="preserve"> care.</w:t>
      </w:r>
      <w:r w:rsidR="002F7113">
        <w:rPr>
          <w:lang w:val="en-GB"/>
        </w:rPr>
        <w:t xml:space="preserve"> With the exception of fractures, all </w:t>
      </w:r>
      <w:r w:rsidR="000149B5">
        <w:rPr>
          <w:lang w:val="en-GB"/>
        </w:rPr>
        <w:t xml:space="preserve">injury types </w:t>
      </w:r>
      <w:proofErr w:type="gramStart"/>
      <w:r w:rsidR="000149B5">
        <w:rPr>
          <w:lang w:val="en-GB"/>
        </w:rPr>
        <w:t>were predomina</w:t>
      </w:r>
      <w:r w:rsidR="002F7113">
        <w:rPr>
          <w:lang w:val="en-GB"/>
        </w:rPr>
        <w:t>ntly treated</w:t>
      </w:r>
      <w:proofErr w:type="gramEnd"/>
      <w:r w:rsidR="002F7113">
        <w:rPr>
          <w:lang w:val="en-GB"/>
        </w:rPr>
        <w:t xml:space="preserve"> in primary care</w:t>
      </w:r>
      <w:r w:rsidR="00907832">
        <w:rPr>
          <w:lang w:val="en-GB"/>
        </w:rPr>
        <w:t xml:space="preserve">. </w:t>
      </w:r>
      <w:r w:rsidRPr="00907832">
        <w:rPr>
          <w:b/>
          <w:i/>
          <w:lang w:val="en-GB"/>
        </w:rPr>
        <w:t>Conclusions:</w:t>
      </w:r>
      <w:r w:rsidR="000149B5" w:rsidRPr="00907832">
        <w:rPr>
          <w:b/>
          <w:lang w:val="en-GB"/>
        </w:rPr>
        <w:t xml:space="preserve"> </w:t>
      </w:r>
      <w:r w:rsidR="00907832" w:rsidRPr="00907832">
        <w:rPr>
          <w:b/>
          <w:lang w:val="en-GB"/>
        </w:rPr>
        <w:t xml:space="preserve">A </w:t>
      </w:r>
      <w:r w:rsidR="000149B5" w:rsidRPr="00907832">
        <w:rPr>
          <w:b/>
          <w:lang w:val="en-GB"/>
        </w:rPr>
        <w:t>substan</w:t>
      </w:r>
      <w:r w:rsidR="00907832" w:rsidRPr="00907832">
        <w:rPr>
          <w:b/>
          <w:lang w:val="en-GB"/>
        </w:rPr>
        <w:t xml:space="preserve">tial </w:t>
      </w:r>
      <w:r w:rsidR="00DD7130">
        <w:rPr>
          <w:b/>
          <w:lang w:val="en-GB"/>
        </w:rPr>
        <w:t>pro</w:t>
      </w:r>
      <w:r w:rsidR="00907832" w:rsidRPr="00907832">
        <w:rPr>
          <w:b/>
          <w:lang w:val="en-GB"/>
        </w:rPr>
        <w:t>portion of injur</w:t>
      </w:r>
      <w:r w:rsidR="005004EA">
        <w:rPr>
          <w:b/>
          <w:lang w:val="en-GB"/>
        </w:rPr>
        <w:t>ed</w:t>
      </w:r>
      <w:r w:rsidR="000149B5" w:rsidRPr="00907832">
        <w:rPr>
          <w:b/>
          <w:lang w:val="en-GB"/>
        </w:rPr>
        <w:t xml:space="preserve"> </w:t>
      </w:r>
      <w:r w:rsidR="005004EA">
        <w:rPr>
          <w:b/>
          <w:lang w:val="en-GB"/>
        </w:rPr>
        <w:t xml:space="preserve">patients </w:t>
      </w:r>
      <w:r w:rsidR="000149B5" w:rsidRPr="00907832">
        <w:rPr>
          <w:b/>
          <w:lang w:val="en-GB"/>
        </w:rPr>
        <w:t>i</w:t>
      </w:r>
      <w:r w:rsidR="00505368" w:rsidRPr="00907832">
        <w:rPr>
          <w:b/>
          <w:lang w:val="en-GB"/>
        </w:rPr>
        <w:t xml:space="preserve">n Norway </w:t>
      </w:r>
      <w:proofErr w:type="gramStart"/>
      <w:r w:rsidR="00DD7130">
        <w:rPr>
          <w:b/>
          <w:lang w:val="en-GB"/>
        </w:rPr>
        <w:t>are</w:t>
      </w:r>
      <w:r w:rsidR="00505368" w:rsidRPr="00907832">
        <w:rPr>
          <w:b/>
          <w:lang w:val="en-GB"/>
        </w:rPr>
        <w:t xml:space="preserve"> treated</w:t>
      </w:r>
      <w:proofErr w:type="gramEnd"/>
      <w:r w:rsidR="00505368" w:rsidRPr="00907832">
        <w:rPr>
          <w:b/>
          <w:lang w:val="en-GB"/>
        </w:rPr>
        <w:t xml:space="preserve"> exclusively </w:t>
      </w:r>
      <w:r w:rsidR="000149B5" w:rsidRPr="00907832">
        <w:rPr>
          <w:b/>
          <w:lang w:val="en-GB"/>
        </w:rPr>
        <w:t>in primary c</w:t>
      </w:r>
      <w:r w:rsidR="00907832" w:rsidRPr="00907832">
        <w:rPr>
          <w:b/>
          <w:lang w:val="en-GB"/>
        </w:rPr>
        <w:t xml:space="preserve">are. The demographic profile </w:t>
      </w:r>
      <w:r w:rsidR="00797B6B">
        <w:rPr>
          <w:b/>
          <w:lang w:val="en-GB"/>
        </w:rPr>
        <w:t>of these patients differs</w:t>
      </w:r>
      <w:r w:rsidR="002F7113">
        <w:rPr>
          <w:b/>
          <w:lang w:val="en-GB"/>
        </w:rPr>
        <w:t xml:space="preserve"> from those treated</w:t>
      </w:r>
      <w:r w:rsidR="00797B6B">
        <w:rPr>
          <w:b/>
          <w:lang w:val="en-GB"/>
        </w:rPr>
        <w:t xml:space="preserve"> in</w:t>
      </w:r>
      <w:r w:rsidR="00907832" w:rsidRPr="00907832">
        <w:rPr>
          <w:b/>
          <w:lang w:val="en-GB"/>
        </w:rPr>
        <w:t xml:space="preserve"> s</w:t>
      </w:r>
      <w:r w:rsidR="00A43CA5">
        <w:rPr>
          <w:b/>
          <w:lang w:val="en-GB"/>
        </w:rPr>
        <w:t>econdary</w:t>
      </w:r>
      <w:r w:rsidR="00907832" w:rsidRPr="00907832">
        <w:rPr>
          <w:b/>
          <w:lang w:val="en-GB"/>
        </w:rPr>
        <w:t xml:space="preserve"> care</w:t>
      </w:r>
      <w:r w:rsidR="00D979FE">
        <w:rPr>
          <w:b/>
          <w:lang w:val="en-GB"/>
        </w:rPr>
        <w:t>.</w:t>
      </w:r>
      <w:r w:rsidR="000149B5" w:rsidRPr="00907832">
        <w:rPr>
          <w:b/>
          <w:lang w:val="en-GB"/>
        </w:rPr>
        <w:t xml:space="preserve">   </w:t>
      </w:r>
    </w:p>
    <w:p w14:paraId="508783C7" w14:textId="0F9DA0D3" w:rsidR="006F2C6A" w:rsidRPr="002E7F8E" w:rsidRDefault="006F2C6A" w:rsidP="00247287">
      <w:pPr>
        <w:spacing w:line="360" w:lineRule="auto"/>
        <w:rPr>
          <w:b/>
          <w:lang w:val="en-GB"/>
        </w:rPr>
      </w:pPr>
    </w:p>
    <w:p w14:paraId="3745EA16" w14:textId="0168A327" w:rsidR="006F2C6A" w:rsidRDefault="006F2C6A" w:rsidP="00247287">
      <w:pPr>
        <w:spacing w:line="360" w:lineRule="auto"/>
        <w:rPr>
          <w:lang w:val="en-GB"/>
        </w:rPr>
      </w:pPr>
      <w:r w:rsidRPr="00E33E68">
        <w:rPr>
          <w:b/>
          <w:lang w:val="en-GB"/>
        </w:rPr>
        <w:t>Keywords</w:t>
      </w:r>
      <w:r>
        <w:rPr>
          <w:lang w:val="en-GB"/>
        </w:rPr>
        <w:t xml:space="preserve">: </w:t>
      </w:r>
      <w:r w:rsidR="00821C01">
        <w:rPr>
          <w:lang w:val="en-GB"/>
        </w:rPr>
        <w:t xml:space="preserve">Injuries, </w:t>
      </w:r>
      <w:r w:rsidR="00654F6A">
        <w:rPr>
          <w:lang w:val="en-GB"/>
        </w:rPr>
        <w:t xml:space="preserve">incidence, </w:t>
      </w:r>
      <w:r w:rsidR="00821C01">
        <w:rPr>
          <w:lang w:val="en-GB"/>
        </w:rPr>
        <w:t xml:space="preserve">primary health care, </w:t>
      </w:r>
      <w:r w:rsidR="0037597C">
        <w:rPr>
          <w:lang w:val="en-GB"/>
        </w:rPr>
        <w:t>emergency medical services,</w:t>
      </w:r>
      <w:r w:rsidR="00654F6A">
        <w:rPr>
          <w:lang w:val="en-GB"/>
        </w:rPr>
        <w:t xml:space="preserve"> data linkage, </w:t>
      </w:r>
      <w:r w:rsidR="00821C01">
        <w:rPr>
          <w:lang w:val="en-GB"/>
        </w:rPr>
        <w:t>internati</w:t>
      </w:r>
      <w:r w:rsidR="00100BFB">
        <w:rPr>
          <w:lang w:val="en-GB"/>
        </w:rPr>
        <w:t>onal classification of diseases</w:t>
      </w:r>
      <w:r w:rsidR="002E7F8E">
        <w:rPr>
          <w:lang w:val="en-GB"/>
        </w:rPr>
        <w:t xml:space="preserve">, </w:t>
      </w:r>
      <w:r w:rsidR="004231B8">
        <w:rPr>
          <w:lang w:val="en-GB"/>
        </w:rPr>
        <w:t xml:space="preserve">registries, </w:t>
      </w:r>
      <w:r w:rsidR="002E7F8E">
        <w:rPr>
          <w:lang w:val="en-GB"/>
        </w:rPr>
        <w:t>epidemiology</w:t>
      </w:r>
      <w:r w:rsidR="001C721B">
        <w:rPr>
          <w:lang w:val="en-GB"/>
        </w:rPr>
        <w:t>.</w:t>
      </w:r>
      <w:r w:rsidR="00821C01">
        <w:rPr>
          <w:lang w:val="en-GB"/>
        </w:rPr>
        <w:t xml:space="preserve"> </w:t>
      </w:r>
    </w:p>
    <w:p w14:paraId="3E6FE697" w14:textId="77777777" w:rsidR="00821C01" w:rsidRDefault="00821C01" w:rsidP="006F2C6A">
      <w:pPr>
        <w:spacing w:line="360" w:lineRule="auto"/>
        <w:rPr>
          <w:lang w:val="en-GB"/>
        </w:rPr>
      </w:pPr>
    </w:p>
    <w:p w14:paraId="23EC4039" w14:textId="70ED6AA2" w:rsidR="006F2C6A" w:rsidRDefault="00E33E68" w:rsidP="006F2C6A">
      <w:pPr>
        <w:spacing w:line="360" w:lineRule="auto"/>
        <w:rPr>
          <w:lang w:val="en-GB"/>
        </w:rPr>
      </w:pPr>
      <w:r w:rsidRPr="00E33E68">
        <w:rPr>
          <w:b/>
          <w:lang w:val="en-GB"/>
        </w:rPr>
        <w:t>Word count</w:t>
      </w:r>
      <w:r>
        <w:rPr>
          <w:lang w:val="en-GB"/>
        </w:rPr>
        <w:t>:</w:t>
      </w:r>
      <w:r w:rsidR="006F2C6A">
        <w:rPr>
          <w:lang w:val="en-GB"/>
        </w:rPr>
        <w:t xml:space="preserve"> </w:t>
      </w:r>
      <w:r w:rsidR="00C5758C">
        <w:rPr>
          <w:lang w:val="en-GB"/>
        </w:rPr>
        <w:t>30</w:t>
      </w:r>
      <w:r w:rsidR="000A2FAA">
        <w:rPr>
          <w:lang w:val="en-GB"/>
        </w:rPr>
        <w:t>0</w:t>
      </w:r>
      <w:r w:rsidR="00ED436E">
        <w:rPr>
          <w:lang w:val="en-GB"/>
        </w:rPr>
        <w:t>8</w:t>
      </w:r>
    </w:p>
    <w:p w14:paraId="65AE3B25" w14:textId="77777777" w:rsidR="00A63FFD" w:rsidRDefault="00A63FFD" w:rsidP="00247287">
      <w:pPr>
        <w:spacing w:line="360" w:lineRule="auto"/>
        <w:rPr>
          <w:lang w:val="en-GB"/>
        </w:rPr>
      </w:pPr>
    </w:p>
    <w:p w14:paraId="737DF15C" w14:textId="77777777" w:rsidR="00B00554" w:rsidRDefault="00B00554" w:rsidP="00247287">
      <w:pPr>
        <w:spacing w:line="360" w:lineRule="auto"/>
        <w:rPr>
          <w:lang w:val="en-GB"/>
        </w:rPr>
      </w:pPr>
    </w:p>
    <w:p w14:paraId="15F6DDCA" w14:textId="77777777" w:rsidR="00B00554" w:rsidRDefault="00B00554" w:rsidP="00247287">
      <w:pPr>
        <w:spacing w:line="360" w:lineRule="auto"/>
        <w:rPr>
          <w:lang w:val="en-GB"/>
        </w:rPr>
      </w:pPr>
    </w:p>
    <w:p w14:paraId="3AA74D06" w14:textId="77777777" w:rsidR="00B00554" w:rsidRDefault="00B00554" w:rsidP="00247287">
      <w:pPr>
        <w:spacing w:line="360" w:lineRule="auto"/>
        <w:rPr>
          <w:lang w:val="en-GB"/>
        </w:rPr>
      </w:pPr>
    </w:p>
    <w:p w14:paraId="3F42B353" w14:textId="77777777" w:rsidR="00B00554" w:rsidRDefault="00B00554" w:rsidP="00247287">
      <w:pPr>
        <w:spacing w:line="360" w:lineRule="auto"/>
        <w:rPr>
          <w:lang w:val="en-GB"/>
        </w:rPr>
      </w:pPr>
    </w:p>
    <w:p w14:paraId="7CE65050" w14:textId="77777777" w:rsidR="00B00554" w:rsidRDefault="00B00554" w:rsidP="00247287">
      <w:pPr>
        <w:spacing w:line="360" w:lineRule="auto"/>
        <w:rPr>
          <w:lang w:val="en-GB"/>
        </w:rPr>
      </w:pPr>
    </w:p>
    <w:p w14:paraId="2AA4131C" w14:textId="77777777" w:rsidR="00B00554" w:rsidRDefault="00B00554" w:rsidP="00247287">
      <w:pPr>
        <w:spacing w:line="360" w:lineRule="auto"/>
        <w:rPr>
          <w:lang w:val="en-GB"/>
        </w:rPr>
      </w:pPr>
    </w:p>
    <w:p w14:paraId="2E53D968" w14:textId="1F8E6F48" w:rsidR="005E426B" w:rsidRPr="00E33E68" w:rsidRDefault="00AC2722" w:rsidP="00247287">
      <w:pPr>
        <w:spacing w:line="360" w:lineRule="auto"/>
        <w:rPr>
          <w:b/>
          <w:lang w:val="en-GB"/>
        </w:rPr>
      </w:pPr>
      <w:r w:rsidRPr="00E33E68">
        <w:rPr>
          <w:b/>
          <w:lang w:val="en-GB"/>
        </w:rPr>
        <w:lastRenderedPageBreak/>
        <w:t>BACKGROUND</w:t>
      </w:r>
    </w:p>
    <w:p w14:paraId="0EEB0322" w14:textId="4DBE18DB" w:rsidR="00205208" w:rsidRDefault="00422451" w:rsidP="00334094">
      <w:pPr>
        <w:rPr>
          <w:lang w:val="en-GB"/>
        </w:rPr>
      </w:pPr>
      <w:r>
        <w:rPr>
          <w:lang w:val="en-GB"/>
        </w:rPr>
        <w:t>Injuries constitute</w:t>
      </w:r>
      <w:r w:rsidR="0010475A">
        <w:rPr>
          <w:lang w:val="en-GB"/>
        </w:rPr>
        <w:t xml:space="preserve"> a major public health problem, being</w:t>
      </w:r>
      <w:r>
        <w:rPr>
          <w:lang w:val="en-GB"/>
        </w:rPr>
        <w:t xml:space="preserve"> one of the</w:t>
      </w:r>
      <w:r w:rsidR="006D59C1">
        <w:rPr>
          <w:lang w:val="en-GB"/>
        </w:rPr>
        <w:t xml:space="preserve"> leading cause</w:t>
      </w:r>
      <w:r>
        <w:rPr>
          <w:lang w:val="en-GB"/>
        </w:rPr>
        <w:t>s</w:t>
      </w:r>
      <w:r w:rsidR="006D59C1">
        <w:rPr>
          <w:lang w:val="en-GB"/>
        </w:rPr>
        <w:t xml:space="preserve"> of dea</w:t>
      </w:r>
      <w:r w:rsidR="005645DB">
        <w:rPr>
          <w:lang w:val="en-GB"/>
        </w:rPr>
        <w:t>th</w:t>
      </w:r>
      <w:r w:rsidR="001E415F">
        <w:rPr>
          <w:lang w:val="en-GB"/>
        </w:rPr>
        <w:t xml:space="preserve"> for young people</w:t>
      </w:r>
      <w:r w:rsidR="006E7AF3">
        <w:rPr>
          <w:lang w:val="en-GB"/>
        </w:rPr>
        <w:t xml:space="preserve"> </w:t>
      </w:r>
      <w:r w:rsidR="00FE617B">
        <w:rPr>
          <w:lang w:val="en-GB"/>
        </w:rPr>
        <w:t>worldwide</w:t>
      </w:r>
      <w:r w:rsidR="003A289D">
        <w:rPr>
          <w:lang w:val="en-GB"/>
        </w:rPr>
        <w:t xml:space="preserve"> [1]</w:t>
      </w:r>
      <w:r w:rsidR="0010475A">
        <w:rPr>
          <w:lang w:val="en-GB"/>
        </w:rPr>
        <w:t xml:space="preserve">. In addition, </w:t>
      </w:r>
      <w:r w:rsidR="006D59C1">
        <w:rPr>
          <w:lang w:val="en-GB"/>
        </w:rPr>
        <w:t>a large number of non-fatal injuries</w:t>
      </w:r>
      <w:r w:rsidR="00D12E39">
        <w:rPr>
          <w:lang w:val="en-GB"/>
        </w:rPr>
        <w:t xml:space="preserve"> </w:t>
      </w:r>
      <w:r w:rsidR="006D59C1">
        <w:rPr>
          <w:lang w:val="en-GB"/>
        </w:rPr>
        <w:t xml:space="preserve">contribute to poor health and reduced quality of life for </w:t>
      </w:r>
      <w:r w:rsidR="00FE617B">
        <w:rPr>
          <w:lang w:val="en-GB"/>
        </w:rPr>
        <w:t>individuals at all ages</w:t>
      </w:r>
      <w:r w:rsidR="00D453AF">
        <w:rPr>
          <w:lang w:val="en-GB"/>
        </w:rPr>
        <w:t>,</w:t>
      </w:r>
      <w:r w:rsidR="006D59C1">
        <w:rPr>
          <w:lang w:val="en-GB"/>
        </w:rPr>
        <w:t xml:space="preserve"> as well as high costs to society</w:t>
      </w:r>
      <w:r w:rsidR="009C54C2">
        <w:rPr>
          <w:lang w:val="en-GB"/>
        </w:rPr>
        <w:t xml:space="preserve"> [2-5].</w:t>
      </w:r>
      <w:r w:rsidR="006D59C1">
        <w:rPr>
          <w:lang w:val="en-GB"/>
        </w:rPr>
        <w:t xml:space="preserve"> Despite the high individual and soci</w:t>
      </w:r>
      <w:r w:rsidR="00B305C3">
        <w:rPr>
          <w:lang w:val="en-GB"/>
        </w:rPr>
        <w:t>etal burden of injury,</w:t>
      </w:r>
      <w:r w:rsidR="003014B0">
        <w:rPr>
          <w:lang w:val="en-GB"/>
        </w:rPr>
        <w:t xml:space="preserve"> </w:t>
      </w:r>
      <w:r w:rsidR="001B40DF">
        <w:rPr>
          <w:lang w:val="en-GB"/>
        </w:rPr>
        <w:t xml:space="preserve">measuring </w:t>
      </w:r>
      <w:r w:rsidR="00C3187B">
        <w:rPr>
          <w:lang w:val="en-GB"/>
        </w:rPr>
        <w:t xml:space="preserve">injury </w:t>
      </w:r>
      <w:r w:rsidR="006D59C1">
        <w:rPr>
          <w:lang w:val="en-GB"/>
        </w:rPr>
        <w:t>in</w:t>
      </w:r>
      <w:r w:rsidR="008B4CFD">
        <w:rPr>
          <w:lang w:val="en-GB"/>
        </w:rPr>
        <w:t xml:space="preserve">cidence </w:t>
      </w:r>
      <w:r w:rsidR="00D453AF">
        <w:rPr>
          <w:lang w:val="en-GB"/>
        </w:rPr>
        <w:t>is difficult</w:t>
      </w:r>
      <w:r w:rsidR="00E60AFA">
        <w:rPr>
          <w:lang w:val="en-GB"/>
        </w:rPr>
        <w:t xml:space="preserve"> </w:t>
      </w:r>
      <w:r w:rsidR="00E83061">
        <w:rPr>
          <w:lang w:val="en-GB"/>
        </w:rPr>
        <w:t>due to</w:t>
      </w:r>
      <w:r w:rsidR="00260DEC">
        <w:rPr>
          <w:lang w:val="en-GB"/>
        </w:rPr>
        <w:t xml:space="preserve"> data limitations</w:t>
      </w:r>
      <w:r w:rsidR="00505368">
        <w:rPr>
          <w:lang w:val="en-GB"/>
        </w:rPr>
        <w:t xml:space="preserve"> and</w:t>
      </w:r>
      <w:r w:rsidR="00E60AFA">
        <w:rPr>
          <w:lang w:val="en-GB"/>
        </w:rPr>
        <w:t xml:space="preserve"> unde</w:t>
      </w:r>
      <w:r w:rsidR="00505368">
        <w:rPr>
          <w:lang w:val="en-GB"/>
        </w:rPr>
        <w:t>rlying methodological issues</w:t>
      </w:r>
      <w:r w:rsidR="00E83061" w:rsidRPr="00E83061">
        <w:rPr>
          <w:lang w:val="en-GB"/>
        </w:rPr>
        <w:t xml:space="preserve"> </w:t>
      </w:r>
      <w:r w:rsidR="0001283A">
        <w:rPr>
          <w:lang w:val="en-GB"/>
        </w:rPr>
        <w:t>[6-12</w:t>
      </w:r>
      <w:r w:rsidR="001575D2">
        <w:rPr>
          <w:lang w:val="en-GB"/>
        </w:rPr>
        <w:t xml:space="preserve">]. </w:t>
      </w:r>
      <w:r w:rsidR="00505368">
        <w:rPr>
          <w:lang w:val="en-GB"/>
        </w:rPr>
        <w:t>Moreover, t</w:t>
      </w:r>
      <w:r w:rsidR="008F6A55">
        <w:rPr>
          <w:lang w:val="en-GB"/>
        </w:rPr>
        <w:t xml:space="preserve">he </w:t>
      </w:r>
      <w:r w:rsidR="00AE68FA">
        <w:rPr>
          <w:lang w:val="en-GB"/>
        </w:rPr>
        <w:t>way</w:t>
      </w:r>
      <w:r w:rsidR="008F6A55">
        <w:rPr>
          <w:lang w:val="en-GB"/>
        </w:rPr>
        <w:t xml:space="preserve"> </w:t>
      </w:r>
      <w:r w:rsidR="00FC07F3">
        <w:rPr>
          <w:lang w:val="en-GB"/>
        </w:rPr>
        <w:t>health care system</w:t>
      </w:r>
      <w:r w:rsidR="00AE68FA">
        <w:rPr>
          <w:lang w:val="en-GB"/>
        </w:rPr>
        <w:t>s are organised</w:t>
      </w:r>
      <w:r w:rsidR="00FC07F3">
        <w:rPr>
          <w:lang w:val="en-GB"/>
        </w:rPr>
        <w:t xml:space="preserve"> varies between</w:t>
      </w:r>
      <w:r w:rsidR="008F6A55">
        <w:rPr>
          <w:lang w:val="en-GB"/>
        </w:rPr>
        <w:t xml:space="preserve"> countries, </w:t>
      </w:r>
      <w:r w:rsidR="00D453AF">
        <w:rPr>
          <w:lang w:val="en-GB"/>
        </w:rPr>
        <w:t xml:space="preserve">which </w:t>
      </w:r>
      <w:r w:rsidR="008F6A55">
        <w:rPr>
          <w:lang w:val="en-GB"/>
        </w:rPr>
        <w:t>complicat</w:t>
      </w:r>
      <w:r w:rsidR="00D453AF">
        <w:rPr>
          <w:lang w:val="en-GB"/>
        </w:rPr>
        <w:t>es</w:t>
      </w:r>
      <w:r w:rsidR="008F6A55">
        <w:rPr>
          <w:lang w:val="en-GB"/>
        </w:rPr>
        <w:t xml:space="preserve"> intern</w:t>
      </w:r>
      <w:r w:rsidR="005B2CD3">
        <w:rPr>
          <w:lang w:val="en-GB"/>
        </w:rPr>
        <w:t xml:space="preserve">ational comparisons of </w:t>
      </w:r>
      <w:r w:rsidR="00015AEC">
        <w:rPr>
          <w:lang w:val="en-GB"/>
        </w:rPr>
        <w:t xml:space="preserve">injury incidence. </w:t>
      </w:r>
    </w:p>
    <w:p w14:paraId="20524320" w14:textId="084BBC13" w:rsidR="00DA552C" w:rsidRDefault="00AE68FA" w:rsidP="00334094">
      <w:pPr>
        <w:rPr>
          <w:lang w:val="en-GB"/>
        </w:rPr>
      </w:pPr>
      <w:r>
        <w:rPr>
          <w:lang w:val="en-GB"/>
        </w:rPr>
        <w:t>In m</w:t>
      </w:r>
      <w:r w:rsidR="00260DEC">
        <w:rPr>
          <w:lang w:val="en-GB"/>
        </w:rPr>
        <w:t>ost studies</w:t>
      </w:r>
      <w:r>
        <w:rPr>
          <w:lang w:val="en-GB"/>
        </w:rPr>
        <w:t>,</w:t>
      </w:r>
      <w:r w:rsidR="002A5825">
        <w:rPr>
          <w:lang w:val="en-GB"/>
        </w:rPr>
        <w:t xml:space="preserve"> </w:t>
      </w:r>
      <w:r w:rsidR="00565FD6">
        <w:rPr>
          <w:lang w:val="en-GB"/>
        </w:rPr>
        <w:t xml:space="preserve">injury incidence </w:t>
      </w:r>
      <w:r>
        <w:rPr>
          <w:lang w:val="en-GB"/>
        </w:rPr>
        <w:t>is measured</w:t>
      </w:r>
      <w:r w:rsidR="00881DFB">
        <w:rPr>
          <w:lang w:val="en-GB"/>
        </w:rPr>
        <w:t xml:space="preserve"> </w:t>
      </w:r>
      <w:r>
        <w:rPr>
          <w:lang w:val="en-GB"/>
        </w:rPr>
        <w:t xml:space="preserve">using </w:t>
      </w:r>
      <w:r w:rsidR="00881DFB">
        <w:rPr>
          <w:lang w:val="en-GB"/>
        </w:rPr>
        <w:t>mortality sta</w:t>
      </w:r>
      <w:r w:rsidR="003C6A10">
        <w:rPr>
          <w:lang w:val="en-GB"/>
        </w:rPr>
        <w:t>tistics, hospital data</w:t>
      </w:r>
      <w:r w:rsidR="00881DFB">
        <w:rPr>
          <w:lang w:val="en-GB"/>
        </w:rPr>
        <w:t xml:space="preserve"> </w:t>
      </w:r>
      <w:r w:rsidR="00BD69E5">
        <w:rPr>
          <w:lang w:val="en-GB"/>
        </w:rPr>
        <w:t>or</w:t>
      </w:r>
      <w:r w:rsidR="007D6FF4">
        <w:rPr>
          <w:lang w:val="en-GB"/>
        </w:rPr>
        <w:t xml:space="preserve"> emergency department</w:t>
      </w:r>
      <w:r w:rsidR="00154AE3">
        <w:rPr>
          <w:lang w:val="en-GB"/>
        </w:rPr>
        <w:t xml:space="preserve"> data. </w:t>
      </w:r>
      <w:r w:rsidR="003830D0">
        <w:rPr>
          <w:lang w:val="en-GB"/>
        </w:rPr>
        <w:t>However</w:t>
      </w:r>
      <w:r w:rsidR="0010475A">
        <w:rPr>
          <w:lang w:val="en-GB"/>
        </w:rPr>
        <w:t>,</w:t>
      </w:r>
      <w:r w:rsidR="00881DFB">
        <w:rPr>
          <w:lang w:val="en-GB"/>
        </w:rPr>
        <w:t xml:space="preserve"> this practice </w:t>
      </w:r>
      <w:r>
        <w:rPr>
          <w:lang w:val="en-GB"/>
        </w:rPr>
        <w:t>excludes</w:t>
      </w:r>
      <w:r w:rsidR="009646FC">
        <w:rPr>
          <w:lang w:val="en-GB"/>
        </w:rPr>
        <w:t xml:space="preserve"> </w:t>
      </w:r>
      <w:r w:rsidR="00752482">
        <w:rPr>
          <w:lang w:val="en-GB"/>
        </w:rPr>
        <w:t>the</w:t>
      </w:r>
      <w:r w:rsidR="00AF5E8D">
        <w:rPr>
          <w:lang w:val="en-GB"/>
        </w:rPr>
        <w:t xml:space="preserve"> high</w:t>
      </w:r>
      <w:r w:rsidR="000E3554">
        <w:rPr>
          <w:lang w:val="en-GB"/>
        </w:rPr>
        <w:t xml:space="preserve"> volume</w:t>
      </w:r>
      <w:r w:rsidR="00881DFB">
        <w:rPr>
          <w:lang w:val="en-GB"/>
        </w:rPr>
        <w:t xml:space="preserve"> of</w:t>
      </w:r>
      <w:r w:rsidR="00752482">
        <w:rPr>
          <w:lang w:val="en-GB"/>
        </w:rPr>
        <w:t xml:space="preserve"> </w:t>
      </w:r>
      <w:r w:rsidR="00194E35">
        <w:rPr>
          <w:lang w:val="en-GB"/>
        </w:rPr>
        <w:t xml:space="preserve">injuries treated by general practitioners (GPs) and other </w:t>
      </w:r>
      <w:r w:rsidR="00565FD6">
        <w:rPr>
          <w:lang w:val="en-GB"/>
        </w:rPr>
        <w:t>primary</w:t>
      </w:r>
      <w:r w:rsidR="003F7BB4">
        <w:rPr>
          <w:lang w:val="en-GB"/>
        </w:rPr>
        <w:t xml:space="preserve"> </w:t>
      </w:r>
      <w:r w:rsidR="00565FD6">
        <w:rPr>
          <w:lang w:val="en-GB"/>
        </w:rPr>
        <w:t>car</w:t>
      </w:r>
      <w:r w:rsidR="003F7BB4">
        <w:rPr>
          <w:lang w:val="en-GB"/>
        </w:rPr>
        <w:t>e providers</w:t>
      </w:r>
      <w:r w:rsidR="004556F5">
        <w:rPr>
          <w:lang w:val="en-GB"/>
        </w:rPr>
        <w:t xml:space="preserve">. </w:t>
      </w:r>
      <w:r>
        <w:rPr>
          <w:lang w:val="en-GB"/>
        </w:rPr>
        <w:t>Although these injuries are usually</w:t>
      </w:r>
      <w:r w:rsidR="00234AB2">
        <w:rPr>
          <w:lang w:val="en-GB"/>
        </w:rPr>
        <w:t xml:space="preserve"> less severe, </w:t>
      </w:r>
      <w:r w:rsidR="00950989">
        <w:rPr>
          <w:lang w:val="en-GB"/>
        </w:rPr>
        <w:t>the</w:t>
      </w:r>
      <w:r>
        <w:rPr>
          <w:lang w:val="en-GB"/>
        </w:rPr>
        <w:t>y</w:t>
      </w:r>
      <w:r w:rsidR="00950989">
        <w:rPr>
          <w:lang w:val="en-GB"/>
        </w:rPr>
        <w:t xml:space="preserve"> may contribute substan</w:t>
      </w:r>
      <w:r w:rsidR="007D6FF4">
        <w:rPr>
          <w:lang w:val="en-GB"/>
        </w:rPr>
        <w:t>tially to the total</w:t>
      </w:r>
      <w:r w:rsidR="00950989">
        <w:rPr>
          <w:lang w:val="en-GB"/>
        </w:rPr>
        <w:t xml:space="preserve"> burden of injury</w:t>
      </w:r>
      <w:r w:rsidR="00E85116">
        <w:rPr>
          <w:lang w:val="en-GB"/>
        </w:rPr>
        <w:t xml:space="preserve"> </w:t>
      </w:r>
      <w:r w:rsidR="008F16CE">
        <w:rPr>
          <w:lang w:val="en-GB"/>
        </w:rPr>
        <w:t>[13-14]</w:t>
      </w:r>
      <w:r w:rsidR="00950989">
        <w:rPr>
          <w:lang w:val="en-GB"/>
        </w:rPr>
        <w:t xml:space="preserve">. </w:t>
      </w:r>
      <w:r w:rsidR="00521799">
        <w:rPr>
          <w:lang w:val="en-GB"/>
        </w:rPr>
        <w:t xml:space="preserve">Analyses based on mortality </w:t>
      </w:r>
      <w:r w:rsidR="007D6FF4">
        <w:rPr>
          <w:lang w:val="en-GB"/>
        </w:rPr>
        <w:t>statistics, hospital data and emergency department</w:t>
      </w:r>
      <w:r w:rsidR="00521799">
        <w:rPr>
          <w:lang w:val="en-GB"/>
        </w:rPr>
        <w:t xml:space="preserve"> data</w:t>
      </w:r>
      <w:r w:rsidR="00933672">
        <w:rPr>
          <w:lang w:val="en-GB"/>
        </w:rPr>
        <w:t xml:space="preserve"> are therefore likely to underestimate the </w:t>
      </w:r>
      <w:r w:rsidR="00553192">
        <w:rPr>
          <w:lang w:val="en-GB"/>
        </w:rPr>
        <w:t>total</w:t>
      </w:r>
      <w:r w:rsidR="00EF27A1">
        <w:rPr>
          <w:lang w:val="en-GB"/>
        </w:rPr>
        <w:t xml:space="preserve"> </w:t>
      </w:r>
      <w:r w:rsidR="00234AB2">
        <w:rPr>
          <w:lang w:val="en-GB"/>
        </w:rPr>
        <w:t xml:space="preserve">injury </w:t>
      </w:r>
      <w:r w:rsidR="00846F5F">
        <w:rPr>
          <w:lang w:val="en-GB"/>
        </w:rPr>
        <w:t>burden</w:t>
      </w:r>
      <w:r w:rsidR="0010475A">
        <w:rPr>
          <w:lang w:val="en-GB"/>
        </w:rPr>
        <w:t xml:space="preserve"> </w:t>
      </w:r>
      <w:r w:rsidR="008F16CE">
        <w:rPr>
          <w:lang w:val="en-GB"/>
        </w:rPr>
        <w:t>[15-16]</w:t>
      </w:r>
      <w:r w:rsidR="00521799">
        <w:rPr>
          <w:lang w:val="en-GB"/>
        </w:rPr>
        <w:t>.</w:t>
      </w:r>
      <w:r w:rsidR="00E61557" w:rsidRPr="00E61557">
        <w:rPr>
          <w:lang w:val="en-GB"/>
        </w:rPr>
        <w:t xml:space="preserve"> </w:t>
      </w:r>
      <w:r w:rsidR="0061740E">
        <w:rPr>
          <w:lang w:val="en-GB"/>
        </w:rPr>
        <w:t xml:space="preserve">In this study, we link injury data from primary and secondary </w:t>
      </w:r>
      <w:r w:rsidR="00C22473">
        <w:rPr>
          <w:lang w:val="en-GB"/>
        </w:rPr>
        <w:t>care to explore the entire spectrum</w:t>
      </w:r>
      <w:r w:rsidR="0061740E">
        <w:rPr>
          <w:lang w:val="en-GB"/>
        </w:rPr>
        <w:t xml:space="preserve"> of </w:t>
      </w:r>
      <w:r w:rsidR="00C22473">
        <w:rPr>
          <w:lang w:val="en-GB"/>
        </w:rPr>
        <w:t xml:space="preserve">medically treated </w:t>
      </w:r>
      <w:r w:rsidR="0061740E">
        <w:rPr>
          <w:lang w:val="en-GB"/>
        </w:rPr>
        <w:t>injuries in Norway.</w:t>
      </w:r>
    </w:p>
    <w:p w14:paraId="21D4125C" w14:textId="3A22FDE7" w:rsidR="00B0351C" w:rsidRDefault="00BA60E6" w:rsidP="00334094">
      <w:pPr>
        <w:rPr>
          <w:lang w:val="en-GB"/>
        </w:rPr>
      </w:pPr>
      <w:r>
        <w:rPr>
          <w:lang w:val="en-GB"/>
        </w:rPr>
        <w:t>Including data from primary care to measure injury incidence is especially pertinent in Norway, where</w:t>
      </w:r>
      <w:r w:rsidR="005C0BD8">
        <w:rPr>
          <w:lang w:val="en-GB"/>
        </w:rPr>
        <w:t xml:space="preserve"> </w:t>
      </w:r>
      <w:r w:rsidR="00540022">
        <w:rPr>
          <w:lang w:val="en-GB"/>
        </w:rPr>
        <w:t>e</w:t>
      </w:r>
      <w:r w:rsidR="00F51A46">
        <w:rPr>
          <w:lang w:val="en-GB"/>
        </w:rPr>
        <w:t xml:space="preserve">mergency care is organised </w:t>
      </w:r>
      <w:r w:rsidR="005C0BD8">
        <w:rPr>
          <w:lang w:val="en-GB"/>
        </w:rPr>
        <w:t xml:space="preserve">as part of </w:t>
      </w:r>
      <w:r w:rsidR="00F51A46">
        <w:rPr>
          <w:lang w:val="en-GB"/>
        </w:rPr>
        <w:t>both</w:t>
      </w:r>
      <w:r w:rsidR="00540022">
        <w:rPr>
          <w:lang w:val="en-GB"/>
        </w:rPr>
        <w:t xml:space="preserve"> s</w:t>
      </w:r>
      <w:r w:rsidR="00986F62">
        <w:rPr>
          <w:lang w:val="en-GB"/>
        </w:rPr>
        <w:t>econdary</w:t>
      </w:r>
      <w:r w:rsidR="00540022">
        <w:rPr>
          <w:lang w:val="en-GB"/>
        </w:rPr>
        <w:t xml:space="preserve"> and primary care. While s</w:t>
      </w:r>
      <w:r w:rsidR="00986F62">
        <w:rPr>
          <w:lang w:val="en-GB"/>
        </w:rPr>
        <w:t>econdary</w:t>
      </w:r>
      <w:r w:rsidR="00F054FB">
        <w:rPr>
          <w:lang w:val="en-GB"/>
        </w:rPr>
        <w:t xml:space="preserve"> care consists of</w:t>
      </w:r>
      <w:r w:rsidR="000B5D2A">
        <w:rPr>
          <w:lang w:val="en-GB"/>
        </w:rPr>
        <w:t xml:space="preserve"> state-owned</w:t>
      </w:r>
      <w:r w:rsidR="00540022">
        <w:rPr>
          <w:lang w:val="en-GB"/>
        </w:rPr>
        <w:t xml:space="preserve"> hospitals and clinics, p</w:t>
      </w:r>
      <w:r w:rsidR="00E0573B">
        <w:rPr>
          <w:lang w:val="en-GB"/>
        </w:rPr>
        <w:t>rimary care is organised by more than</w:t>
      </w:r>
      <w:r w:rsidR="00540022">
        <w:rPr>
          <w:lang w:val="en-GB"/>
        </w:rPr>
        <w:t xml:space="preserve"> 400 local municipalities and includes services by GPs, physiotherapists, chiropractors and other p</w:t>
      </w:r>
      <w:r w:rsidR="00A97EDF">
        <w:rPr>
          <w:lang w:val="en-GB"/>
        </w:rPr>
        <w:t>r</w:t>
      </w:r>
      <w:r w:rsidR="00E33E68">
        <w:rPr>
          <w:lang w:val="en-GB"/>
        </w:rPr>
        <w:t>imary care providers. L</w:t>
      </w:r>
      <w:r w:rsidR="00540022">
        <w:rPr>
          <w:lang w:val="en-GB"/>
        </w:rPr>
        <w:t>ocal municipalities</w:t>
      </w:r>
      <w:r w:rsidR="00A97EDF">
        <w:rPr>
          <w:lang w:val="en-GB"/>
        </w:rPr>
        <w:t xml:space="preserve"> in Norway</w:t>
      </w:r>
      <w:r w:rsidR="00540022">
        <w:rPr>
          <w:lang w:val="en-GB"/>
        </w:rPr>
        <w:t xml:space="preserve"> also offer </w:t>
      </w:r>
      <w:r w:rsidR="00540022" w:rsidRPr="006C01C5">
        <w:rPr>
          <w:i/>
          <w:lang w:val="en-GB"/>
        </w:rPr>
        <w:t>out-of-hours emergency primary health care</w:t>
      </w:r>
      <w:r w:rsidR="00A97EDF">
        <w:rPr>
          <w:lang w:val="en-GB"/>
        </w:rPr>
        <w:t xml:space="preserve">, </w:t>
      </w:r>
      <w:r w:rsidR="00505368">
        <w:rPr>
          <w:lang w:val="en-GB"/>
        </w:rPr>
        <w:t xml:space="preserve">consisting of municipality-run emergency departments </w:t>
      </w:r>
      <w:r w:rsidR="004850E9">
        <w:rPr>
          <w:lang w:val="en-GB"/>
        </w:rPr>
        <w:t>for</w:t>
      </w:r>
      <w:r w:rsidR="00540022">
        <w:rPr>
          <w:lang w:val="en-GB"/>
        </w:rPr>
        <w:t xml:space="preserve"> patients </w:t>
      </w:r>
      <w:r w:rsidR="004850E9">
        <w:rPr>
          <w:lang w:val="en-GB"/>
        </w:rPr>
        <w:t>that need</w:t>
      </w:r>
      <w:r w:rsidR="00540022">
        <w:rPr>
          <w:lang w:val="en-GB"/>
        </w:rPr>
        <w:t xml:space="preserve"> acute </w:t>
      </w:r>
      <w:r w:rsidR="004850E9">
        <w:rPr>
          <w:lang w:val="en-GB"/>
        </w:rPr>
        <w:t>help</w:t>
      </w:r>
      <w:r w:rsidR="00540022">
        <w:rPr>
          <w:lang w:val="en-GB"/>
        </w:rPr>
        <w:t xml:space="preserve">. </w:t>
      </w:r>
      <w:r w:rsidR="00AD2B00">
        <w:rPr>
          <w:lang w:val="en-GB"/>
        </w:rPr>
        <w:t>This organisation</w:t>
      </w:r>
      <w:r w:rsidR="00B0351C">
        <w:rPr>
          <w:lang w:val="en-GB"/>
        </w:rPr>
        <w:t xml:space="preserve"> </w:t>
      </w:r>
      <w:r w:rsidR="00AD2B00">
        <w:rPr>
          <w:lang w:val="en-GB"/>
        </w:rPr>
        <w:t xml:space="preserve">of emergency care </w:t>
      </w:r>
      <w:r w:rsidR="00B0351C">
        <w:rPr>
          <w:lang w:val="en-GB"/>
        </w:rPr>
        <w:t xml:space="preserve">means that </w:t>
      </w:r>
      <w:r w:rsidR="00C96659">
        <w:rPr>
          <w:lang w:val="en-GB"/>
        </w:rPr>
        <w:t>a large proportion</w:t>
      </w:r>
      <w:r w:rsidR="00B0351C">
        <w:rPr>
          <w:lang w:val="en-GB"/>
        </w:rPr>
        <w:t xml:space="preserve"> of </w:t>
      </w:r>
      <w:r w:rsidR="00AD2B00">
        <w:rPr>
          <w:lang w:val="en-GB"/>
        </w:rPr>
        <w:t>injuries</w:t>
      </w:r>
      <w:r w:rsidR="008C71C7">
        <w:rPr>
          <w:lang w:val="en-GB"/>
        </w:rPr>
        <w:t xml:space="preserve"> in Norway</w:t>
      </w:r>
      <w:r w:rsidR="001C721B">
        <w:rPr>
          <w:lang w:val="en-GB"/>
        </w:rPr>
        <w:t xml:space="preserve"> </w:t>
      </w:r>
      <w:r w:rsidR="004850E9">
        <w:rPr>
          <w:lang w:val="en-GB"/>
        </w:rPr>
        <w:t>are</w:t>
      </w:r>
      <w:r w:rsidR="00B0351C">
        <w:rPr>
          <w:lang w:val="en-GB"/>
        </w:rPr>
        <w:t xml:space="preserve"> </w:t>
      </w:r>
      <w:r w:rsidR="00190BC2">
        <w:rPr>
          <w:lang w:val="en-GB"/>
        </w:rPr>
        <w:t xml:space="preserve">likely </w:t>
      </w:r>
      <w:r w:rsidR="00E33E68">
        <w:rPr>
          <w:lang w:val="en-GB"/>
        </w:rPr>
        <w:t xml:space="preserve">to </w:t>
      </w:r>
      <w:proofErr w:type="gramStart"/>
      <w:r w:rsidR="00E33E68">
        <w:rPr>
          <w:lang w:val="en-GB"/>
        </w:rPr>
        <w:t>be treat</w:t>
      </w:r>
      <w:r w:rsidR="00C3187B">
        <w:rPr>
          <w:lang w:val="en-GB"/>
        </w:rPr>
        <w:t>ed</w:t>
      </w:r>
      <w:proofErr w:type="gramEnd"/>
      <w:r w:rsidR="005917A4">
        <w:rPr>
          <w:lang w:val="en-GB"/>
        </w:rPr>
        <w:t xml:space="preserve"> in primary care.</w:t>
      </w:r>
      <w:r w:rsidR="00F740F5">
        <w:rPr>
          <w:lang w:val="en-GB"/>
        </w:rPr>
        <w:t xml:space="preserve"> </w:t>
      </w:r>
      <w:r w:rsidR="00A97EDF">
        <w:rPr>
          <w:lang w:val="en-GB"/>
        </w:rPr>
        <w:t xml:space="preserve"> </w:t>
      </w:r>
      <w:r w:rsidR="005917A4">
        <w:rPr>
          <w:lang w:val="en-GB"/>
        </w:rPr>
        <w:t xml:space="preserve"> </w:t>
      </w:r>
    </w:p>
    <w:p w14:paraId="23C8AC24" w14:textId="78A2AD7B" w:rsidR="00190BC2" w:rsidRDefault="004850E9" w:rsidP="00334094">
      <w:pPr>
        <w:rPr>
          <w:lang w:val="en-GB"/>
        </w:rPr>
      </w:pPr>
      <w:r>
        <w:rPr>
          <w:lang w:val="en-GB"/>
        </w:rPr>
        <w:t xml:space="preserve">Being able </w:t>
      </w:r>
      <w:r w:rsidR="00F52699">
        <w:rPr>
          <w:lang w:val="en-GB"/>
        </w:rPr>
        <w:t>to lin</w:t>
      </w:r>
      <w:r w:rsidR="000F2749">
        <w:rPr>
          <w:lang w:val="en-GB"/>
        </w:rPr>
        <w:t xml:space="preserve">k </w:t>
      </w:r>
      <w:r w:rsidR="00576174">
        <w:rPr>
          <w:lang w:val="en-GB"/>
        </w:rPr>
        <w:t xml:space="preserve">individual data from </w:t>
      </w:r>
      <w:r>
        <w:rPr>
          <w:lang w:val="en-GB"/>
        </w:rPr>
        <w:t xml:space="preserve">population-based health </w:t>
      </w:r>
      <w:r w:rsidR="000F2749">
        <w:rPr>
          <w:lang w:val="en-GB"/>
        </w:rPr>
        <w:t>registries with a personal</w:t>
      </w:r>
      <w:r w:rsidR="00F52699">
        <w:rPr>
          <w:lang w:val="en-GB"/>
        </w:rPr>
        <w:t xml:space="preserve"> identification number gives the Nordi</w:t>
      </w:r>
      <w:r w:rsidR="00576174">
        <w:rPr>
          <w:lang w:val="en-GB"/>
        </w:rPr>
        <w:t xml:space="preserve">c countries an advantage in </w:t>
      </w:r>
      <w:r w:rsidR="00F52699">
        <w:rPr>
          <w:lang w:val="en-GB"/>
        </w:rPr>
        <w:t>pro</w:t>
      </w:r>
      <w:r w:rsidR="00576174">
        <w:rPr>
          <w:lang w:val="en-GB"/>
        </w:rPr>
        <w:t xml:space="preserve">viding </w:t>
      </w:r>
      <w:r w:rsidR="00F52699">
        <w:rPr>
          <w:lang w:val="en-GB"/>
        </w:rPr>
        <w:t>es</w:t>
      </w:r>
      <w:r w:rsidR="00F7586B">
        <w:rPr>
          <w:lang w:val="en-GB"/>
        </w:rPr>
        <w:t>timates</w:t>
      </w:r>
      <w:r w:rsidR="001B2CD0">
        <w:rPr>
          <w:lang w:val="en-GB"/>
        </w:rPr>
        <w:t xml:space="preserve"> of disease incidence and prevalence</w:t>
      </w:r>
      <w:r w:rsidR="00C5190D">
        <w:rPr>
          <w:lang w:val="en-GB"/>
        </w:rPr>
        <w:t xml:space="preserve">. </w:t>
      </w:r>
      <w:r w:rsidR="005346FB">
        <w:rPr>
          <w:lang w:val="en-GB"/>
        </w:rPr>
        <w:t xml:space="preserve">To our knowledge, no study has </w:t>
      </w:r>
      <w:r w:rsidR="001D4671">
        <w:rPr>
          <w:lang w:val="en-GB"/>
        </w:rPr>
        <w:t>so</w:t>
      </w:r>
      <w:r w:rsidR="005346FB">
        <w:rPr>
          <w:lang w:val="en-GB"/>
        </w:rPr>
        <w:t xml:space="preserve"> far combined national individual-level </w:t>
      </w:r>
      <w:r w:rsidR="005346FB">
        <w:rPr>
          <w:lang w:val="en-GB"/>
        </w:rPr>
        <w:lastRenderedPageBreak/>
        <w:t>data covering</w:t>
      </w:r>
      <w:r w:rsidR="001C721B">
        <w:rPr>
          <w:lang w:val="en-GB"/>
        </w:rPr>
        <w:t xml:space="preserve"> all</w:t>
      </w:r>
      <w:r w:rsidR="005346FB">
        <w:rPr>
          <w:lang w:val="en-GB"/>
        </w:rPr>
        <w:t xml:space="preserve"> injuries treated in primary and s</w:t>
      </w:r>
      <w:r w:rsidR="00986F62">
        <w:rPr>
          <w:lang w:val="en-GB"/>
        </w:rPr>
        <w:t>econdary</w:t>
      </w:r>
      <w:r w:rsidR="005346FB">
        <w:rPr>
          <w:lang w:val="en-GB"/>
        </w:rPr>
        <w:t xml:space="preserve"> care. </w:t>
      </w:r>
      <w:r w:rsidR="00CD24AF">
        <w:rPr>
          <w:lang w:val="en-GB"/>
        </w:rPr>
        <w:t>T</w:t>
      </w:r>
      <w:r w:rsidR="00C5190D">
        <w:rPr>
          <w:lang w:val="en-GB"/>
        </w:rPr>
        <w:t>he</w:t>
      </w:r>
      <w:r w:rsidR="00E85116">
        <w:rPr>
          <w:lang w:val="en-GB"/>
        </w:rPr>
        <w:t xml:space="preserve"> </w:t>
      </w:r>
      <w:r w:rsidR="00C5190D">
        <w:rPr>
          <w:lang w:val="en-GB"/>
        </w:rPr>
        <w:t>aim of this study was to</w:t>
      </w:r>
      <w:r w:rsidR="00E85116">
        <w:rPr>
          <w:lang w:val="en-GB"/>
        </w:rPr>
        <w:t xml:space="preserve"> measure</w:t>
      </w:r>
      <w:r w:rsidR="00CD24AF">
        <w:rPr>
          <w:lang w:val="en-GB"/>
        </w:rPr>
        <w:t xml:space="preserve"> the</w:t>
      </w:r>
      <w:r w:rsidR="006C01C5">
        <w:rPr>
          <w:lang w:val="en-GB"/>
        </w:rPr>
        <w:t xml:space="preserve"> </w:t>
      </w:r>
      <w:r w:rsidR="001C721B">
        <w:rPr>
          <w:lang w:val="en-GB"/>
        </w:rPr>
        <w:t>i</w:t>
      </w:r>
      <w:r w:rsidR="004B0E29">
        <w:rPr>
          <w:lang w:val="en-GB"/>
        </w:rPr>
        <w:t xml:space="preserve">ncidence </w:t>
      </w:r>
      <w:r w:rsidR="005346FB">
        <w:rPr>
          <w:lang w:val="en-GB"/>
        </w:rPr>
        <w:t>of</w:t>
      </w:r>
      <w:r w:rsidR="00933227">
        <w:rPr>
          <w:lang w:val="en-GB"/>
        </w:rPr>
        <w:t xml:space="preserve"> </w:t>
      </w:r>
      <w:r w:rsidR="0035201A">
        <w:rPr>
          <w:lang w:val="en-GB"/>
        </w:rPr>
        <w:t xml:space="preserve">medically treated </w:t>
      </w:r>
      <w:r w:rsidR="004B0E29">
        <w:rPr>
          <w:lang w:val="en-GB"/>
        </w:rPr>
        <w:t>injuries in Norway by</w:t>
      </w:r>
      <w:r w:rsidR="007E356B">
        <w:rPr>
          <w:lang w:val="en-GB"/>
        </w:rPr>
        <w:t xml:space="preserve"> linking </w:t>
      </w:r>
      <w:r w:rsidR="008F48DA">
        <w:rPr>
          <w:lang w:val="en-GB"/>
        </w:rPr>
        <w:t>s</w:t>
      </w:r>
      <w:r w:rsidR="00986F62">
        <w:rPr>
          <w:lang w:val="en-GB"/>
        </w:rPr>
        <w:t>econdary</w:t>
      </w:r>
      <w:r w:rsidR="004B0E29">
        <w:rPr>
          <w:lang w:val="en-GB"/>
        </w:rPr>
        <w:t xml:space="preserve"> </w:t>
      </w:r>
      <w:r w:rsidR="00CD24AF">
        <w:rPr>
          <w:lang w:val="en-GB"/>
        </w:rPr>
        <w:t>and</w:t>
      </w:r>
      <w:r w:rsidR="007E356B">
        <w:rPr>
          <w:lang w:val="en-GB"/>
        </w:rPr>
        <w:t xml:space="preserve"> </w:t>
      </w:r>
      <w:r w:rsidR="004B0E29">
        <w:rPr>
          <w:lang w:val="en-GB"/>
        </w:rPr>
        <w:t xml:space="preserve">primary </w:t>
      </w:r>
      <w:r w:rsidR="00CD24AF">
        <w:rPr>
          <w:lang w:val="en-GB"/>
        </w:rPr>
        <w:t>care</w:t>
      </w:r>
      <w:r w:rsidR="007E356B">
        <w:rPr>
          <w:lang w:val="en-GB"/>
        </w:rPr>
        <w:t xml:space="preserve"> </w:t>
      </w:r>
      <w:r w:rsidR="00A23B14">
        <w:rPr>
          <w:lang w:val="en-GB"/>
        </w:rPr>
        <w:t>data.</w:t>
      </w:r>
      <w:r w:rsidR="00F52699">
        <w:rPr>
          <w:lang w:val="en-GB"/>
        </w:rPr>
        <w:t xml:space="preserve"> </w:t>
      </w:r>
      <w:r w:rsidR="00100A29">
        <w:rPr>
          <w:lang w:val="en-GB"/>
        </w:rPr>
        <w:t xml:space="preserve">We </w:t>
      </w:r>
      <w:r w:rsidR="001D4671">
        <w:rPr>
          <w:lang w:val="en-GB"/>
        </w:rPr>
        <w:t>also</w:t>
      </w:r>
      <w:r w:rsidR="00933227">
        <w:rPr>
          <w:lang w:val="en-GB"/>
        </w:rPr>
        <w:t xml:space="preserve"> aimed to</w:t>
      </w:r>
      <w:r w:rsidR="00F52699">
        <w:rPr>
          <w:lang w:val="en-GB"/>
        </w:rPr>
        <w:t xml:space="preserve"> </w:t>
      </w:r>
      <w:r w:rsidR="007461F6">
        <w:rPr>
          <w:lang w:val="en-GB"/>
        </w:rPr>
        <w:t>investigate</w:t>
      </w:r>
      <w:r w:rsidR="00100A29">
        <w:rPr>
          <w:lang w:val="en-GB"/>
        </w:rPr>
        <w:t xml:space="preserve"> </w:t>
      </w:r>
      <w:r w:rsidR="009D60DC">
        <w:rPr>
          <w:lang w:val="en-GB"/>
        </w:rPr>
        <w:t>age and gender</w:t>
      </w:r>
      <w:r w:rsidR="00100A29">
        <w:rPr>
          <w:lang w:val="en-GB"/>
        </w:rPr>
        <w:t xml:space="preserve"> distributions</w:t>
      </w:r>
      <w:r w:rsidR="0088197C">
        <w:rPr>
          <w:lang w:val="en-GB"/>
        </w:rPr>
        <w:t xml:space="preserve"> </w:t>
      </w:r>
      <w:r w:rsidR="00952DF0">
        <w:rPr>
          <w:lang w:val="en-GB"/>
        </w:rPr>
        <w:t>a</w:t>
      </w:r>
      <w:r w:rsidR="001D4671">
        <w:rPr>
          <w:lang w:val="en-GB"/>
        </w:rPr>
        <w:t>s well as</w:t>
      </w:r>
      <w:r w:rsidR="00952DF0">
        <w:rPr>
          <w:lang w:val="en-GB"/>
        </w:rPr>
        <w:t xml:space="preserve"> t</w:t>
      </w:r>
      <w:r w:rsidR="001D4671">
        <w:rPr>
          <w:lang w:val="en-GB"/>
        </w:rPr>
        <w:t>ime</w:t>
      </w:r>
      <w:r w:rsidR="00F52699">
        <w:rPr>
          <w:lang w:val="en-GB"/>
        </w:rPr>
        <w:t xml:space="preserve"> t</w:t>
      </w:r>
      <w:r w:rsidR="007E356B">
        <w:rPr>
          <w:lang w:val="en-GB"/>
        </w:rPr>
        <w:t>rends</w:t>
      </w:r>
      <w:r w:rsidR="009D60DC">
        <w:rPr>
          <w:lang w:val="en-GB"/>
        </w:rPr>
        <w:t>.</w:t>
      </w:r>
      <w:r w:rsidR="008A718D">
        <w:rPr>
          <w:lang w:val="en-GB"/>
        </w:rPr>
        <w:t xml:space="preserve"> Finally, </w:t>
      </w:r>
      <w:r w:rsidR="009D60DC">
        <w:rPr>
          <w:lang w:val="en-GB"/>
        </w:rPr>
        <w:t>by</w:t>
      </w:r>
      <w:r w:rsidR="00E77B79">
        <w:rPr>
          <w:lang w:val="en-GB"/>
        </w:rPr>
        <w:t xml:space="preserve"> </w:t>
      </w:r>
      <w:r w:rsidR="000716C6">
        <w:rPr>
          <w:lang w:val="en-GB"/>
        </w:rPr>
        <w:t>mapping</w:t>
      </w:r>
      <w:r w:rsidR="00AA171D">
        <w:rPr>
          <w:lang w:val="en-GB"/>
        </w:rPr>
        <w:t xml:space="preserve"> diagnostic codes between</w:t>
      </w:r>
      <w:r w:rsidR="000716C6">
        <w:rPr>
          <w:lang w:val="en-GB"/>
        </w:rPr>
        <w:t xml:space="preserve"> registries</w:t>
      </w:r>
      <w:r w:rsidR="00C96659">
        <w:rPr>
          <w:lang w:val="en-GB"/>
        </w:rPr>
        <w:t>, we</w:t>
      </w:r>
      <w:r w:rsidR="009657BE">
        <w:rPr>
          <w:lang w:val="en-GB"/>
        </w:rPr>
        <w:t xml:space="preserve"> </w:t>
      </w:r>
      <w:r w:rsidR="00933227">
        <w:rPr>
          <w:lang w:val="en-GB"/>
        </w:rPr>
        <w:t xml:space="preserve">aimed to </w:t>
      </w:r>
      <w:r w:rsidR="009D60DC">
        <w:rPr>
          <w:lang w:val="en-GB"/>
        </w:rPr>
        <w:t>identify</w:t>
      </w:r>
      <w:r w:rsidR="00E87E5E">
        <w:rPr>
          <w:lang w:val="en-GB"/>
        </w:rPr>
        <w:t xml:space="preserve"> </w:t>
      </w:r>
      <w:r w:rsidR="001D4671">
        <w:rPr>
          <w:lang w:val="en-GB"/>
        </w:rPr>
        <w:t>which</w:t>
      </w:r>
      <w:r w:rsidR="00E87E5E">
        <w:rPr>
          <w:lang w:val="en-GB"/>
        </w:rPr>
        <w:t xml:space="preserve"> </w:t>
      </w:r>
      <w:r w:rsidR="00933227">
        <w:rPr>
          <w:lang w:val="en-GB"/>
        </w:rPr>
        <w:t xml:space="preserve">types of injuries </w:t>
      </w:r>
      <w:proofErr w:type="gramStart"/>
      <w:r w:rsidR="001D4671">
        <w:rPr>
          <w:lang w:val="en-GB"/>
        </w:rPr>
        <w:t xml:space="preserve">are </w:t>
      </w:r>
      <w:r w:rsidR="00473C71">
        <w:rPr>
          <w:lang w:val="en-GB"/>
        </w:rPr>
        <w:t xml:space="preserve">predominantly </w:t>
      </w:r>
      <w:r w:rsidR="00E87E5E">
        <w:rPr>
          <w:lang w:val="en-GB"/>
        </w:rPr>
        <w:t>treated</w:t>
      </w:r>
      <w:proofErr w:type="gramEnd"/>
      <w:r w:rsidR="00E87E5E">
        <w:rPr>
          <w:lang w:val="en-GB"/>
        </w:rPr>
        <w:t xml:space="preserve"> in </w:t>
      </w:r>
      <w:r w:rsidR="001D4671">
        <w:rPr>
          <w:lang w:val="en-GB"/>
        </w:rPr>
        <w:t xml:space="preserve">either </w:t>
      </w:r>
      <w:r w:rsidR="00E87E5E">
        <w:rPr>
          <w:lang w:val="en-GB"/>
        </w:rPr>
        <w:t>primary</w:t>
      </w:r>
      <w:r w:rsidR="000A56D1">
        <w:rPr>
          <w:lang w:val="en-GB"/>
        </w:rPr>
        <w:t xml:space="preserve"> </w:t>
      </w:r>
      <w:r w:rsidR="001D4671">
        <w:rPr>
          <w:lang w:val="en-GB"/>
        </w:rPr>
        <w:t>or</w:t>
      </w:r>
      <w:r w:rsidR="000A56D1">
        <w:rPr>
          <w:lang w:val="en-GB"/>
        </w:rPr>
        <w:t xml:space="preserve"> s</w:t>
      </w:r>
      <w:r w:rsidR="00986F62">
        <w:rPr>
          <w:lang w:val="en-GB"/>
        </w:rPr>
        <w:t>econdary</w:t>
      </w:r>
      <w:r w:rsidR="000A56D1">
        <w:rPr>
          <w:lang w:val="en-GB"/>
        </w:rPr>
        <w:t xml:space="preserve"> </w:t>
      </w:r>
      <w:r w:rsidR="00E87E5E">
        <w:rPr>
          <w:lang w:val="en-GB"/>
        </w:rPr>
        <w:t>care</w:t>
      </w:r>
      <w:r w:rsidR="007021BE">
        <w:rPr>
          <w:lang w:val="en-GB"/>
        </w:rPr>
        <w:t>, and which injuries more often involve treatment in both</w:t>
      </w:r>
      <w:r w:rsidR="00F7586B">
        <w:rPr>
          <w:lang w:val="en-GB"/>
        </w:rPr>
        <w:t>.</w:t>
      </w:r>
      <w:r w:rsidR="00AA171D">
        <w:rPr>
          <w:lang w:val="en-GB"/>
        </w:rPr>
        <w:t xml:space="preserve"> </w:t>
      </w:r>
    </w:p>
    <w:p w14:paraId="22FBC5E6" w14:textId="77777777" w:rsidR="002E6851" w:rsidRDefault="002E6851" w:rsidP="00334094">
      <w:pPr>
        <w:rPr>
          <w:lang w:val="en-GB"/>
        </w:rPr>
      </w:pPr>
    </w:p>
    <w:p w14:paraId="2EB23F81" w14:textId="7F4881E3" w:rsidR="00FA73B5" w:rsidRPr="005346FB" w:rsidRDefault="00FA73B5" w:rsidP="00334094">
      <w:pPr>
        <w:rPr>
          <w:b/>
          <w:lang w:val="en-GB"/>
        </w:rPr>
      </w:pPr>
      <w:r w:rsidRPr="005346FB">
        <w:rPr>
          <w:b/>
          <w:lang w:val="en-GB"/>
        </w:rPr>
        <w:t>METHODS</w:t>
      </w:r>
    </w:p>
    <w:p w14:paraId="0CE02B0A" w14:textId="472A62D3" w:rsidR="00AC2722" w:rsidRDefault="00AC2722" w:rsidP="00334094">
      <w:pPr>
        <w:pStyle w:val="Undertittel"/>
        <w:rPr>
          <w:lang w:val="en-GB"/>
        </w:rPr>
      </w:pPr>
      <w:r>
        <w:rPr>
          <w:lang w:val="en-GB"/>
        </w:rPr>
        <w:t>Data sources</w:t>
      </w:r>
    </w:p>
    <w:p w14:paraId="5889162C" w14:textId="0641EC67" w:rsidR="00384C73" w:rsidRDefault="008F70BD" w:rsidP="00334094">
      <w:pPr>
        <w:rPr>
          <w:lang w:val="en-GB"/>
        </w:rPr>
      </w:pPr>
      <w:r>
        <w:rPr>
          <w:lang w:val="en-GB"/>
        </w:rPr>
        <w:t xml:space="preserve">The study population comprised all individuals who resided in Norway in the period 2009-2014, obtained from the National Registry. For this period, we </w:t>
      </w:r>
      <w:r w:rsidR="00384C73">
        <w:rPr>
          <w:lang w:val="en-GB"/>
        </w:rPr>
        <w:t>collected individual-level data on injury diagnoses from two sources:</w:t>
      </w:r>
    </w:p>
    <w:p w14:paraId="53E8FBE8" w14:textId="0166A5BD" w:rsidR="00B11D46" w:rsidRDefault="0063458F" w:rsidP="00334094">
      <w:pPr>
        <w:rPr>
          <w:lang w:val="en-GB"/>
        </w:rPr>
      </w:pPr>
      <w:r w:rsidRPr="00F5310C">
        <w:rPr>
          <w:i/>
          <w:lang w:val="en-GB"/>
        </w:rPr>
        <w:t>Secondary care</w:t>
      </w:r>
      <w:r>
        <w:rPr>
          <w:lang w:val="en-GB"/>
        </w:rPr>
        <w:t xml:space="preserve">: </w:t>
      </w:r>
      <w:r w:rsidR="00B11D46">
        <w:rPr>
          <w:lang w:val="en-GB"/>
        </w:rPr>
        <w:t xml:space="preserve">The Norwegian Patient Registry (NPR) is a nationwide health register that covers all inpatient, day patient and outpatient specialist health services in Norway. Diagnoses in NPR </w:t>
      </w:r>
      <w:proofErr w:type="gramStart"/>
      <w:r w:rsidR="00B11D46">
        <w:rPr>
          <w:lang w:val="en-GB"/>
        </w:rPr>
        <w:t>are coded</w:t>
      </w:r>
      <w:proofErr w:type="gramEnd"/>
      <w:r w:rsidR="00B11D46">
        <w:rPr>
          <w:lang w:val="en-GB"/>
        </w:rPr>
        <w:t xml:space="preserve"> according to the tenth edition of the </w:t>
      </w:r>
      <w:r w:rsidR="00B11D46" w:rsidRPr="003505B4">
        <w:rPr>
          <w:i/>
          <w:lang w:val="en-GB"/>
        </w:rPr>
        <w:t>International Statistical Classification of Diseases and Related Health Problems</w:t>
      </w:r>
      <w:r w:rsidR="00B11D46">
        <w:rPr>
          <w:lang w:val="en-GB"/>
        </w:rPr>
        <w:t xml:space="preserve"> (ICD-10). </w:t>
      </w:r>
      <w:r w:rsidR="00720E73">
        <w:rPr>
          <w:lang w:val="en-GB"/>
        </w:rPr>
        <w:t>In this study, we defined t</w:t>
      </w:r>
      <w:r w:rsidR="00B11D46">
        <w:rPr>
          <w:lang w:val="en-GB"/>
        </w:rPr>
        <w:t>he following ICD-10 codes as an injury: S00-T78 (chapter XIX) and V01-Y36 (chapter XX). This case definition excludes certain early complications of trauma (T79), complications of surgical and medical care (T80-T88 and Y40-Y84), and sequelae of injuries (T90-T98 and Y85-</w:t>
      </w:r>
      <w:r w:rsidR="003D3226">
        <w:rPr>
          <w:lang w:val="en-GB"/>
        </w:rPr>
        <w:t xml:space="preserve">Y89). </w:t>
      </w:r>
      <w:r w:rsidR="00720E73">
        <w:rPr>
          <w:lang w:val="en-GB"/>
        </w:rPr>
        <w:t>We restricted t</w:t>
      </w:r>
      <w:r w:rsidR="003D3226">
        <w:rPr>
          <w:lang w:val="en-GB"/>
        </w:rPr>
        <w:t>he analyses</w:t>
      </w:r>
      <w:r w:rsidR="00B11D46">
        <w:rPr>
          <w:lang w:val="en-GB"/>
        </w:rPr>
        <w:t xml:space="preserve"> to </w:t>
      </w:r>
      <w:r w:rsidR="003D3226">
        <w:rPr>
          <w:lang w:val="en-GB"/>
        </w:rPr>
        <w:t>hospital admissions w</w:t>
      </w:r>
      <w:r w:rsidR="00B80FCB">
        <w:rPr>
          <w:lang w:val="en-GB"/>
        </w:rPr>
        <w:t>here</w:t>
      </w:r>
      <w:r w:rsidR="003D3226">
        <w:rPr>
          <w:lang w:val="en-GB"/>
        </w:rPr>
        <w:t xml:space="preserve"> an injury </w:t>
      </w:r>
      <w:r w:rsidR="00B80FCB">
        <w:rPr>
          <w:lang w:val="en-GB"/>
        </w:rPr>
        <w:t>w</w:t>
      </w:r>
      <w:r w:rsidR="003D3226">
        <w:rPr>
          <w:lang w:val="en-GB"/>
        </w:rPr>
        <w:t xml:space="preserve">as </w:t>
      </w:r>
      <w:r w:rsidR="00B11D46">
        <w:rPr>
          <w:lang w:val="en-GB"/>
        </w:rPr>
        <w:t>the principal diagnosis</w:t>
      </w:r>
      <w:r w:rsidR="003D3226">
        <w:rPr>
          <w:lang w:val="en-GB"/>
        </w:rPr>
        <w:t xml:space="preserve"> for each contact (i.e., the first listed diagnosis)</w:t>
      </w:r>
      <w:r w:rsidR="00B11D46">
        <w:rPr>
          <w:lang w:val="en-GB"/>
        </w:rPr>
        <w:t>.</w:t>
      </w:r>
    </w:p>
    <w:p w14:paraId="493DC1FE" w14:textId="59788D26" w:rsidR="00DF62E1" w:rsidRDefault="0063458F" w:rsidP="00334094">
      <w:pPr>
        <w:rPr>
          <w:lang w:val="en-GB"/>
        </w:rPr>
      </w:pPr>
      <w:r w:rsidRPr="00F5310C">
        <w:rPr>
          <w:i/>
          <w:lang w:val="en-GB"/>
        </w:rPr>
        <w:t>Primary care</w:t>
      </w:r>
      <w:r>
        <w:rPr>
          <w:lang w:val="en-GB"/>
        </w:rPr>
        <w:t xml:space="preserve">: </w:t>
      </w:r>
      <w:r w:rsidR="00C5190D">
        <w:rPr>
          <w:lang w:val="en-GB"/>
        </w:rPr>
        <w:t>The</w:t>
      </w:r>
      <w:r w:rsidR="00384C73">
        <w:rPr>
          <w:lang w:val="en-GB"/>
        </w:rPr>
        <w:t xml:space="preserve"> national registry</w:t>
      </w:r>
      <w:r w:rsidR="0098621A">
        <w:rPr>
          <w:lang w:val="en-GB"/>
        </w:rPr>
        <w:t xml:space="preserve"> dataset for reimbursement of primary care providers (</w:t>
      </w:r>
      <w:r w:rsidR="00384C73">
        <w:rPr>
          <w:lang w:val="en-GB"/>
        </w:rPr>
        <w:t xml:space="preserve">Norwegian acronym: </w:t>
      </w:r>
      <w:r w:rsidR="0098621A">
        <w:rPr>
          <w:lang w:val="en-GB"/>
        </w:rPr>
        <w:t>KUHR) con</w:t>
      </w:r>
      <w:r w:rsidR="00B80FCB">
        <w:rPr>
          <w:lang w:val="en-GB"/>
        </w:rPr>
        <w:t>tain</w:t>
      </w:r>
      <w:r w:rsidR="0098621A">
        <w:rPr>
          <w:lang w:val="en-GB"/>
        </w:rPr>
        <w:t>s all electronic reimbursement records sent by GPs, chiropractors, physiotherapists and other primary care providers i</w:t>
      </w:r>
      <w:r w:rsidR="005F3B00">
        <w:rPr>
          <w:lang w:val="en-GB"/>
        </w:rPr>
        <w:t>n Norway</w:t>
      </w:r>
      <w:r w:rsidR="00B11D46">
        <w:rPr>
          <w:lang w:val="en-GB"/>
        </w:rPr>
        <w:t xml:space="preserve"> (</w:t>
      </w:r>
      <w:r w:rsidR="005F3B00">
        <w:rPr>
          <w:lang w:val="en-GB"/>
        </w:rPr>
        <w:t>including</w:t>
      </w:r>
      <w:r w:rsidR="00B11D46">
        <w:rPr>
          <w:lang w:val="en-GB"/>
        </w:rPr>
        <w:t xml:space="preserve"> reimbursements for treatment at </w:t>
      </w:r>
      <w:r w:rsidR="00384C73">
        <w:rPr>
          <w:lang w:val="en-GB"/>
        </w:rPr>
        <w:t>municipality-run emergency department</w:t>
      </w:r>
      <w:r w:rsidR="005F3B00">
        <w:rPr>
          <w:lang w:val="en-GB"/>
        </w:rPr>
        <w:t>s</w:t>
      </w:r>
      <w:r w:rsidR="00B11D46">
        <w:rPr>
          <w:lang w:val="en-GB"/>
        </w:rPr>
        <w:t>)</w:t>
      </w:r>
      <w:r w:rsidR="0098621A">
        <w:rPr>
          <w:lang w:val="en-GB"/>
        </w:rPr>
        <w:t xml:space="preserve">. Diagnoses </w:t>
      </w:r>
      <w:r w:rsidR="00156E27">
        <w:rPr>
          <w:lang w:val="en-GB"/>
        </w:rPr>
        <w:t>in this register</w:t>
      </w:r>
      <w:r w:rsidR="00384C73">
        <w:rPr>
          <w:lang w:val="en-GB"/>
        </w:rPr>
        <w:t xml:space="preserve"> </w:t>
      </w:r>
      <w:proofErr w:type="gramStart"/>
      <w:r w:rsidR="0098621A">
        <w:rPr>
          <w:lang w:val="en-GB"/>
        </w:rPr>
        <w:t>are coded</w:t>
      </w:r>
      <w:proofErr w:type="gramEnd"/>
      <w:r w:rsidR="0098621A">
        <w:rPr>
          <w:lang w:val="en-GB"/>
        </w:rPr>
        <w:t xml:space="preserve"> </w:t>
      </w:r>
      <w:r w:rsidR="0098621A">
        <w:rPr>
          <w:lang w:val="en-GB"/>
        </w:rPr>
        <w:lastRenderedPageBreak/>
        <w:t>according to the second edition of</w:t>
      </w:r>
      <w:r w:rsidR="0098621A" w:rsidRPr="000D25FC">
        <w:rPr>
          <w:lang w:val="en-GB"/>
        </w:rPr>
        <w:t xml:space="preserve"> </w:t>
      </w:r>
      <w:r w:rsidR="0098621A">
        <w:rPr>
          <w:lang w:val="en-GB"/>
        </w:rPr>
        <w:t xml:space="preserve">the </w:t>
      </w:r>
      <w:r w:rsidR="0098621A" w:rsidRPr="00461277">
        <w:rPr>
          <w:i/>
          <w:lang w:val="en-GB"/>
        </w:rPr>
        <w:t>International Class</w:t>
      </w:r>
      <w:r w:rsidR="0098621A">
        <w:rPr>
          <w:i/>
          <w:lang w:val="en-GB"/>
        </w:rPr>
        <w:t>ific</w:t>
      </w:r>
      <w:r w:rsidR="0098621A" w:rsidRPr="00461277">
        <w:rPr>
          <w:i/>
          <w:lang w:val="en-GB"/>
        </w:rPr>
        <w:t>ation of Primary Care</w:t>
      </w:r>
      <w:r w:rsidR="0098621A">
        <w:rPr>
          <w:lang w:val="en-GB"/>
        </w:rPr>
        <w:t xml:space="preserve"> (ICPC-2). </w:t>
      </w:r>
      <w:r w:rsidR="00720E73">
        <w:rPr>
          <w:lang w:val="en-GB"/>
        </w:rPr>
        <w:t>We included t</w:t>
      </w:r>
      <w:r w:rsidR="0098621A">
        <w:rPr>
          <w:lang w:val="en-GB"/>
        </w:rPr>
        <w:t>he following ICPC-2</w:t>
      </w:r>
      <w:r w:rsidR="00384C73">
        <w:rPr>
          <w:lang w:val="en-GB"/>
        </w:rPr>
        <w:t xml:space="preserve"> injury codes </w:t>
      </w:r>
      <w:r w:rsidR="0098621A">
        <w:rPr>
          <w:lang w:val="en-GB"/>
        </w:rPr>
        <w:t>in this study</w:t>
      </w:r>
      <w:r w:rsidR="0072668C">
        <w:rPr>
          <w:lang w:val="en-GB"/>
        </w:rPr>
        <w:t xml:space="preserve"> [17]</w:t>
      </w:r>
      <w:r w:rsidR="0098621A">
        <w:rPr>
          <w:lang w:val="en-GB"/>
        </w:rPr>
        <w:t xml:space="preserve">: </w:t>
      </w:r>
      <w:r w:rsidR="00AC4EC8">
        <w:rPr>
          <w:lang w:val="en-GB"/>
        </w:rPr>
        <w:t>fractures (L72-L76), sprains/</w:t>
      </w:r>
      <w:r w:rsidR="0098621A">
        <w:rPr>
          <w:lang w:val="en-GB"/>
        </w:rPr>
        <w:t>strains/dislocations</w:t>
      </w:r>
      <w:r w:rsidR="00AC4EC8">
        <w:rPr>
          <w:lang w:val="en-GB"/>
        </w:rPr>
        <w:t xml:space="preserve"> (L77-L81, L96</w:t>
      </w:r>
      <w:r w:rsidR="0098621A">
        <w:rPr>
          <w:lang w:val="en-GB"/>
        </w:rPr>
        <w:t xml:space="preserve">), </w:t>
      </w:r>
      <w:r w:rsidR="007F5D64">
        <w:rPr>
          <w:lang w:val="en-GB"/>
        </w:rPr>
        <w:t>head injuries</w:t>
      </w:r>
      <w:r w:rsidR="00AC4EC8">
        <w:rPr>
          <w:lang w:val="en-GB"/>
        </w:rPr>
        <w:t xml:space="preserve"> (N79-N80</w:t>
      </w:r>
      <w:r w:rsidR="0098621A">
        <w:rPr>
          <w:lang w:val="en-GB"/>
        </w:rPr>
        <w:t>),</w:t>
      </w:r>
      <w:r w:rsidR="007F5D64">
        <w:rPr>
          <w:lang w:val="en-GB"/>
        </w:rPr>
        <w:t xml:space="preserve"> eye injuries</w:t>
      </w:r>
      <w:r w:rsidR="0098621A">
        <w:rPr>
          <w:lang w:val="en-GB"/>
        </w:rPr>
        <w:t xml:space="preserve"> </w:t>
      </w:r>
      <w:r w:rsidR="00AC4EC8">
        <w:rPr>
          <w:lang w:val="en-GB"/>
        </w:rPr>
        <w:t>(F75-F76, F79</w:t>
      </w:r>
      <w:r w:rsidR="0098621A">
        <w:rPr>
          <w:lang w:val="en-GB"/>
        </w:rPr>
        <w:t xml:space="preserve">), </w:t>
      </w:r>
      <w:r w:rsidR="00AC4EC8">
        <w:rPr>
          <w:lang w:val="en-GB"/>
        </w:rPr>
        <w:t>ear inj</w:t>
      </w:r>
      <w:r w:rsidR="007F5D64">
        <w:rPr>
          <w:lang w:val="en-GB"/>
        </w:rPr>
        <w:t>uries</w:t>
      </w:r>
      <w:r w:rsidR="00AC4EC8">
        <w:rPr>
          <w:lang w:val="en-GB"/>
        </w:rPr>
        <w:t xml:space="preserve"> (H76-H79), </w:t>
      </w:r>
      <w:r w:rsidR="00E53FE2">
        <w:rPr>
          <w:lang w:val="en-GB"/>
        </w:rPr>
        <w:t xml:space="preserve">other </w:t>
      </w:r>
      <w:r w:rsidR="0098621A">
        <w:rPr>
          <w:lang w:val="en-GB"/>
        </w:rPr>
        <w:t>superficial injuries, including laceration/cut/bite</w:t>
      </w:r>
      <w:r w:rsidR="00AC4EC8">
        <w:rPr>
          <w:lang w:val="en-GB"/>
        </w:rPr>
        <w:t xml:space="preserve"> (S12-S13, S15-S1</w:t>
      </w:r>
      <w:r w:rsidR="00A43CA5">
        <w:rPr>
          <w:lang w:val="en-GB"/>
        </w:rPr>
        <w:t>9</w:t>
      </w:r>
      <w:r w:rsidR="00AC4EC8">
        <w:rPr>
          <w:lang w:val="en-GB"/>
        </w:rPr>
        <w:t xml:space="preserve">), </w:t>
      </w:r>
      <w:r w:rsidR="0098621A">
        <w:rPr>
          <w:lang w:val="en-GB"/>
        </w:rPr>
        <w:t>burns/scalds</w:t>
      </w:r>
      <w:r w:rsidR="00AC4EC8">
        <w:rPr>
          <w:lang w:val="en-GB"/>
        </w:rPr>
        <w:t xml:space="preserve"> (S14</w:t>
      </w:r>
      <w:r w:rsidR="0098621A">
        <w:rPr>
          <w:lang w:val="en-GB"/>
        </w:rPr>
        <w:t xml:space="preserve">), </w:t>
      </w:r>
      <w:r w:rsidR="00AC4EC8">
        <w:rPr>
          <w:lang w:val="en-GB"/>
        </w:rPr>
        <w:t>poisoning (A84, A86</w:t>
      </w:r>
      <w:r w:rsidR="0098621A">
        <w:rPr>
          <w:lang w:val="en-GB"/>
        </w:rPr>
        <w:t xml:space="preserve">), </w:t>
      </w:r>
      <w:r w:rsidR="00AC4EC8">
        <w:rPr>
          <w:lang w:val="en-GB"/>
        </w:rPr>
        <w:t>and other</w:t>
      </w:r>
      <w:r w:rsidR="008F70BD">
        <w:rPr>
          <w:lang w:val="en-GB"/>
        </w:rPr>
        <w:t xml:space="preserve"> miscellaneous</w:t>
      </w:r>
      <w:r w:rsidR="00AC4EC8">
        <w:rPr>
          <w:lang w:val="en-GB"/>
        </w:rPr>
        <w:t xml:space="preserve"> injuries (</w:t>
      </w:r>
      <w:r w:rsidR="0098621A">
        <w:rPr>
          <w:lang w:val="en-GB"/>
        </w:rPr>
        <w:t>A80-A81, A88, B76-B77, D79-D80, N81, R87-R8</w:t>
      </w:r>
      <w:r w:rsidR="00AC4EC8">
        <w:rPr>
          <w:lang w:val="en-GB"/>
        </w:rPr>
        <w:t>8, U80, X82, Y80</w:t>
      </w:r>
      <w:r w:rsidR="0098621A">
        <w:rPr>
          <w:lang w:val="en-GB"/>
        </w:rPr>
        <w:t>). We omitted sequelae/late effects</w:t>
      </w:r>
      <w:r w:rsidR="005F3B00">
        <w:rPr>
          <w:lang w:val="en-GB"/>
        </w:rPr>
        <w:t xml:space="preserve"> (A82, A85), </w:t>
      </w:r>
      <w:r w:rsidR="0098621A">
        <w:rPr>
          <w:lang w:val="en-GB"/>
        </w:rPr>
        <w:t xml:space="preserve">complications </w:t>
      </w:r>
      <w:r w:rsidR="005F3B00">
        <w:rPr>
          <w:lang w:val="en-GB"/>
        </w:rPr>
        <w:t>(</w:t>
      </w:r>
      <w:r w:rsidR="0098621A">
        <w:rPr>
          <w:lang w:val="en-GB"/>
        </w:rPr>
        <w:t>A87</w:t>
      </w:r>
      <w:r w:rsidR="00B80FCB">
        <w:rPr>
          <w:lang w:val="en-GB"/>
        </w:rPr>
        <w:t>,</w:t>
      </w:r>
      <w:r w:rsidR="0098621A">
        <w:rPr>
          <w:lang w:val="en-GB"/>
        </w:rPr>
        <w:t xml:space="preserve"> A89)</w:t>
      </w:r>
      <w:r w:rsidR="005F3B00">
        <w:rPr>
          <w:lang w:val="en-GB"/>
        </w:rPr>
        <w:t xml:space="preserve"> and injury complicating pregnancy (W75)</w:t>
      </w:r>
      <w:r w:rsidR="00AD73E4">
        <w:rPr>
          <w:lang w:val="en-GB"/>
        </w:rPr>
        <w:t xml:space="preserve">. </w:t>
      </w:r>
      <w:r w:rsidR="00AC7F4D">
        <w:rPr>
          <w:lang w:val="en-GB"/>
        </w:rPr>
        <w:t xml:space="preserve">We </w:t>
      </w:r>
      <w:r w:rsidR="0098621A">
        <w:rPr>
          <w:lang w:val="en-GB"/>
        </w:rPr>
        <w:t>restrict</w:t>
      </w:r>
      <w:r w:rsidR="00AD73E4">
        <w:rPr>
          <w:lang w:val="en-GB"/>
        </w:rPr>
        <w:t>ed</w:t>
      </w:r>
      <w:r w:rsidR="0098621A">
        <w:rPr>
          <w:lang w:val="en-GB"/>
        </w:rPr>
        <w:t xml:space="preserve"> our analyses to reimbursements from medica</w:t>
      </w:r>
      <w:r w:rsidR="00AC7F4D">
        <w:rPr>
          <w:lang w:val="en-GB"/>
        </w:rPr>
        <w:t>l doctors</w:t>
      </w:r>
      <w:r w:rsidR="000434A2">
        <w:rPr>
          <w:lang w:val="en-GB"/>
        </w:rPr>
        <w:t xml:space="preserve"> with an injury as the principal diagnosis</w:t>
      </w:r>
      <w:r w:rsidR="0098621A">
        <w:rPr>
          <w:lang w:val="en-GB"/>
        </w:rPr>
        <w:t xml:space="preserve">.  </w:t>
      </w:r>
    </w:p>
    <w:p w14:paraId="74A3903F" w14:textId="77777777" w:rsidR="008F70BD" w:rsidRPr="002202FC" w:rsidRDefault="008F70BD" w:rsidP="00334094">
      <w:pPr>
        <w:rPr>
          <w:lang w:val="en-GB"/>
        </w:rPr>
      </w:pPr>
    </w:p>
    <w:p w14:paraId="2C4CD5B9" w14:textId="77777777" w:rsidR="002910CD" w:rsidRDefault="00C821F4" w:rsidP="00334094">
      <w:pPr>
        <w:pStyle w:val="Undertittel"/>
        <w:rPr>
          <w:lang w:val="en-GB"/>
        </w:rPr>
      </w:pPr>
      <w:r>
        <w:rPr>
          <w:lang w:val="en-GB"/>
        </w:rPr>
        <w:t>Statistical analyses</w:t>
      </w:r>
    </w:p>
    <w:p w14:paraId="362B963E" w14:textId="5F43B0BB" w:rsidR="00521E94" w:rsidRPr="008F70BD" w:rsidRDefault="00F927F3" w:rsidP="00334094">
      <w:pPr>
        <w:rPr>
          <w:lang w:val="en-GB"/>
        </w:rPr>
      </w:pPr>
      <w:r>
        <w:rPr>
          <w:lang w:val="en-GB"/>
        </w:rPr>
        <w:t>We calculated a</w:t>
      </w:r>
      <w:r w:rsidR="002910CD">
        <w:rPr>
          <w:lang w:val="en-GB"/>
        </w:rPr>
        <w:t>nnual incidence r</w:t>
      </w:r>
      <w:r w:rsidR="000B764C">
        <w:rPr>
          <w:lang w:val="en-GB"/>
        </w:rPr>
        <w:t>ates</w:t>
      </w:r>
      <w:r w:rsidR="008A4C4E">
        <w:rPr>
          <w:lang w:val="en-GB"/>
        </w:rPr>
        <w:t xml:space="preserve"> </w:t>
      </w:r>
      <w:r w:rsidR="002910CD">
        <w:rPr>
          <w:lang w:val="en-GB"/>
        </w:rPr>
        <w:t>(per 1000)</w:t>
      </w:r>
      <w:r w:rsidR="008A4C4E">
        <w:rPr>
          <w:lang w:val="en-GB"/>
        </w:rPr>
        <w:t xml:space="preserve"> by dividing</w:t>
      </w:r>
      <w:r w:rsidR="00AC0057">
        <w:rPr>
          <w:lang w:val="en-GB"/>
        </w:rPr>
        <w:t xml:space="preserve"> the number of injured patients in a calendar year </w:t>
      </w:r>
      <w:r w:rsidR="00F3711F">
        <w:rPr>
          <w:lang w:val="en-GB"/>
        </w:rPr>
        <w:t>by the</w:t>
      </w:r>
      <w:r w:rsidR="008A4C4E">
        <w:rPr>
          <w:lang w:val="en-GB"/>
        </w:rPr>
        <w:t xml:space="preserve"> mid-year population</w:t>
      </w:r>
      <w:r w:rsidR="00485E55">
        <w:rPr>
          <w:lang w:val="en-GB"/>
        </w:rPr>
        <w:t xml:space="preserve"> </w:t>
      </w:r>
      <w:r w:rsidR="00AC0057">
        <w:rPr>
          <w:lang w:val="en-GB"/>
        </w:rPr>
        <w:t xml:space="preserve">of that year </w:t>
      </w:r>
      <w:r w:rsidR="0072668C">
        <w:rPr>
          <w:lang w:val="en-GB"/>
        </w:rPr>
        <w:t>[18]</w:t>
      </w:r>
      <w:r w:rsidR="00C91BE4">
        <w:rPr>
          <w:lang w:val="en-GB"/>
        </w:rPr>
        <w:t>.</w:t>
      </w:r>
      <w:r w:rsidR="002910CD">
        <w:rPr>
          <w:lang w:val="en-GB"/>
        </w:rPr>
        <w:t xml:space="preserve"> Individuals with multiple </w:t>
      </w:r>
      <w:r w:rsidR="008973DC">
        <w:rPr>
          <w:lang w:val="en-GB"/>
        </w:rPr>
        <w:t xml:space="preserve">injury </w:t>
      </w:r>
      <w:r w:rsidR="002910CD">
        <w:rPr>
          <w:lang w:val="en-GB"/>
        </w:rPr>
        <w:t>reg</w:t>
      </w:r>
      <w:r w:rsidR="008973DC">
        <w:rPr>
          <w:lang w:val="en-GB"/>
        </w:rPr>
        <w:t>istrations in a particular</w:t>
      </w:r>
      <w:r w:rsidR="00E95D08">
        <w:rPr>
          <w:lang w:val="en-GB"/>
        </w:rPr>
        <w:t xml:space="preserve"> year, either within or between registries, </w:t>
      </w:r>
      <w:proofErr w:type="gramStart"/>
      <w:r w:rsidR="00F3711F">
        <w:rPr>
          <w:lang w:val="en-GB"/>
        </w:rPr>
        <w:t>were</w:t>
      </w:r>
      <w:r w:rsidR="002910CD">
        <w:rPr>
          <w:lang w:val="en-GB"/>
        </w:rPr>
        <w:t xml:space="preserve"> counted</w:t>
      </w:r>
      <w:proofErr w:type="gramEnd"/>
      <w:r w:rsidR="002910CD">
        <w:rPr>
          <w:lang w:val="en-GB"/>
        </w:rPr>
        <w:t xml:space="preserve"> </w:t>
      </w:r>
      <w:r w:rsidR="00B80FCB">
        <w:rPr>
          <w:lang w:val="en-GB"/>
        </w:rPr>
        <w:t xml:space="preserve">only </w:t>
      </w:r>
      <w:r w:rsidR="002910CD">
        <w:rPr>
          <w:lang w:val="en-GB"/>
        </w:rPr>
        <w:t>once</w:t>
      </w:r>
      <w:r w:rsidR="00F3711F">
        <w:rPr>
          <w:lang w:val="en-GB"/>
        </w:rPr>
        <w:t xml:space="preserve">. </w:t>
      </w:r>
      <w:r w:rsidR="002C6281">
        <w:rPr>
          <w:lang w:val="en-GB"/>
        </w:rPr>
        <w:t>In other words</w:t>
      </w:r>
      <w:r w:rsidR="000B764C">
        <w:rPr>
          <w:lang w:val="en-GB"/>
        </w:rPr>
        <w:t xml:space="preserve">, </w:t>
      </w:r>
      <w:r w:rsidR="002C47A8">
        <w:rPr>
          <w:lang w:val="en-GB"/>
        </w:rPr>
        <w:t>we</w:t>
      </w:r>
      <w:r w:rsidR="00335EEC">
        <w:rPr>
          <w:lang w:val="en-GB"/>
        </w:rPr>
        <w:t xml:space="preserve"> </w:t>
      </w:r>
      <w:r w:rsidR="00AA381F">
        <w:rPr>
          <w:lang w:val="en-GB"/>
        </w:rPr>
        <w:t>estimate</w:t>
      </w:r>
      <w:r w:rsidR="00335EEC">
        <w:rPr>
          <w:lang w:val="en-GB"/>
        </w:rPr>
        <w:t>d</w:t>
      </w:r>
      <w:r w:rsidR="000202C7">
        <w:rPr>
          <w:lang w:val="en-GB"/>
        </w:rPr>
        <w:t xml:space="preserve"> the </w:t>
      </w:r>
      <w:r w:rsidR="008F70BD">
        <w:rPr>
          <w:lang w:val="en-GB"/>
        </w:rPr>
        <w:t xml:space="preserve">annual </w:t>
      </w:r>
      <w:r w:rsidR="000202C7">
        <w:rPr>
          <w:lang w:val="en-GB"/>
        </w:rPr>
        <w:t xml:space="preserve">incidence of </w:t>
      </w:r>
      <w:r w:rsidR="002E2C45" w:rsidRPr="00335EEC">
        <w:rPr>
          <w:lang w:val="en-GB"/>
        </w:rPr>
        <w:t xml:space="preserve">injured </w:t>
      </w:r>
      <w:r w:rsidR="000202C7" w:rsidRPr="00335EEC">
        <w:rPr>
          <w:lang w:val="en-GB"/>
        </w:rPr>
        <w:t>individuals</w:t>
      </w:r>
      <w:r w:rsidR="008973DC">
        <w:rPr>
          <w:lang w:val="en-GB"/>
        </w:rPr>
        <w:t>,</w:t>
      </w:r>
      <w:r w:rsidR="00D6521D">
        <w:rPr>
          <w:lang w:val="en-GB"/>
        </w:rPr>
        <w:t xml:space="preserve"> </w:t>
      </w:r>
      <w:r w:rsidR="00335EEC">
        <w:rPr>
          <w:lang w:val="en-GB"/>
        </w:rPr>
        <w:t>rather than</w:t>
      </w:r>
      <w:r w:rsidR="00D6521D">
        <w:rPr>
          <w:lang w:val="en-GB"/>
        </w:rPr>
        <w:t xml:space="preserve"> </w:t>
      </w:r>
      <w:r w:rsidR="00C02C9A">
        <w:rPr>
          <w:lang w:val="en-GB"/>
        </w:rPr>
        <w:t>separate injury events</w:t>
      </w:r>
      <w:r w:rsidR="00411661">
        <w:rPr>
          <w:lang w:val="en-GB"/>
        </w:rPr>
        <w:t xml:space="preserve">. </w:t>
      </w:r>
      <w:r w:rsidR="00335EEC">
        <w:rPr>
          <w:lang w:val="en-GB"/>
        </w:rPr>
        <w:t xml:space="preserve">We present </w:t>
      </w:r>
      <w:r w:rsidR="000202C7">
        <w:rPr>
          <w:lang w:val="en-GB"/>
        </w:rPr>
        <w:t xml:space="preserve">incidence rates </w:t>
      </w:r>
      <w:r w:rsidR="00952DF0">
        <w:rPr>
          <w:lang w:val="en-GB"/>
        </w:rPr>
        <w:t>overall</w:t>
      </w:r>
      <w:r w:rsidR="002C6281">
        <w:rPr>
          <w:lang w:val="en-GB"/>
        </w:rPr>
        <w:t xml:space="preserve"> and</w:t>
      </w:r>
      <w:r w:rsidR="00952DF0">
        <w:rPr>
          <w:lang w:val="en-GB"/>
        </w:rPr>
        <w:t xml:space="preserve"> </w:t>
      </w:r>
      <w:r w:rsidR="000202C7">
        <w:rPr>
          <w:lang w:val="en-GB"/>
        </w:rPr>
        <w:t>by registry</w:t>
      </w:r>
      <w:r w:rsidR="0047526A">
        <w:rPr>
          <w:lang w:val="en-GB"/>
        </w:rPr>
        <w:t xml:space="preserve">, </w:t>
      </w:r>
      <w:r w:rsidR="008F70BD">
        <w:rPr>
          <w:lang w:val="en-GB"/>
        </w:rPr>
        <w:t xml:space="preserve">five-year </w:t>
      </w:r>
      <w:r w:rsidR="00863167">
        <w:rPr>
          <w:lang w:val="en-GB"/>
        </w:rPr>
        <w:t xml:space="preserve">age </w:t>
      </w:r>
      <w:r w:rsidR="008F70BD">
        <w:rPr>
          <w:lang w:val="en-GB"/>
        </w:rPr>
        <w:t xml:space="preserve">groups </w:t>
      </w:r>
      <w:r w:rsidR="00863167">
        <w:rPr>
          <w:lang w:val="en-GB"/>
        </w:rPr>
        <w:t>and gender</w:t>
      </w:r>
      <w:r w:rsidR="008F70BD">
        <w:rPr>
          <w:lang w:val="en-GB"/>
        </w:rPr>
        <w:t>,</w:t>
      </w:r>
      <w:r w:rsidR="008D278E">
        <w:rPr>
          <w:lang w:val="en-GB"/>
        </w:rPr>
        <w:t xml:space="preserve"> and</w:t>
      </w:r>
      <w:r w:rsidR="000202C7">
        <w:rPr>
          <w:lang w:val="en-GB"/>
        </w:rPr>
        <w:t xml:space="preserve"> </w:t>
      </w:r>
      <w:r w:rsidR="00335EEC">
        <w:rPr>
          <w:lang w:val="en-GB"/>
        </w:rPr>
        <w:t>across calendar years</w:t>
      </w:r>
      <w:r w:rsidR="00863167">
        <w:rPr>
          <w:lang w:val="en-GB"/>
        </w:rPr>
        <w:t>.</w:t>
      </w:r>
      <w:r w:rsidR="00B37BFD">
        <w:rPr>
          <w:lang w:val="en-GB"/>
        </w:rPr>
        <w:t xml:space="preserve"> </w:t>
      </w:r>
      <w:r w:rsidR="00D14440">
        <w:rPr>
          <w:lang w:val="en-GB"/>
        </w:rPr>
        <w:t xml:space="preserve">For </w:t>
      </w:r>
      <w:r w:rsidR="00335EEC">
        <w:rPr>
          <w:lang w:val="en-GB"/>
        </w:rPr>
        <w:t>the analyses of time</w:t>
      </w:r>
      <w:r w:rsidR="00D14440">
        <w:rPr>
          <w:lang w:val="en-GB"/>
        </w:rPr>
        <w:t xml:space="preserve"> trends, rates were age-st</w:t>
      </w:r>
      <w:r w:rsidR="00926EB6">
        <w:rPr>
          <w:lang w:val="en-GB"/>
        </w:rPr>
        <w:t>andardised (direct method) applying</w:t>
      </w:r>
      <w:r w:rsidR="00D14440">
        <w:rPr>
          <w:lang w:val="en-GB"/>
        </w:rPr>
        <w:t xml:space="preserve"> the Norwe</w:t>
      </w:r>
      <w:r w:rsidR="00335EEC">
        <w:rPr>
          <w:lang w:val="en-GB"/>
        </w:rPr>
        <w:t xml:space="preserve">gian population </w:t>
      </w:r>
      <w:r w:rsidR="002C6281">
        <w:rPr>
          <w:lang w:val="en-GB"/>
        </w:rPr>
        <w:t>of</w:t>
      </w:r>
      <w:r w:rsidR="00335EEC">
        <w:rPr>
          <w:lang w:val="en-GB"/>
        </w:rPr>
        <w:t xml:space="preserve"> 2009 as </w:t>
      </w:r>
      <w:r w:rsidR="002C6281">
        <w:rPr>
          <w:lang w:val="en-GB"/>
        </w:rPr>
        <w:t xml:space="preserve">the </w:t>
      </w:r>
      <w:r w:rsidR="00D14440">
        <w:rPr>
          <w:lang w:val="en-GB"/>
        </w:rPr>
        <w:t>standard population</w:t>
      </w:r>
      <w:r w:rsidR="0072668C">
        <w:rPr>
          <w:lang w:val="en-GB"/>
        </w:rPr>
        <w:t xml:space="preserve"> [18]</w:t>
      </w:r>
      <w:r w:rsidR="00D14440">
        <w:rPr>
          <w:lang w:val="en-GB"/>
        </w:rPr>
        <w:t>.</w:t>
      </w:r>
    </w:p>
    <w:p w14:paraId="59612E5D" w14:textId="15F4FE74" w:rsidR="002E6851" w:rsidRDefault="00335EEC" w:rsidP="00FE3660">
      <w:pPr>
        <w:rPr>
          <w:lang w:val="en-GB"/>
        </w:rPr>
      </w:pPr>
      <w:r>
        <w:rPr>
          <w:lang w:val="en-GB"/>
        </w:rPr>
        <w:t xml:space="preserve">For the analysis comparing </w:t>
      </w:r>
      <w:r w:rsidR="004734F3">
        <w:rPr>
          <w:lang w:val="en-GB"/>
        </w:rPr>
        <w:t>types of injuries</w:t>
      </w:r>
      <w:r w:rsidR="00B37BFD">
        <w:rPr>
          <w:lang w:val="en-GB"/>
        </w:rPr>
        <w:t xml:space="preserve"> treated in primary and s</w:t>
      </w:r>
      <w:r w:rsidR="00986F62">
        <w:rPr>
          <w:lang w:val="en-GB"/>
        </w:rPr>
        <w:t>econdary</w:t>
      </w:r>
      <w:r w:rsidR="00B37BFD">
        <w:rPr>
          <w:lang w:val="en-GB"/>
        </w:rPr>
        <w:t xml:space="preserve"> </w:t>
      </w:r>
      <w:r w:rsidR="006972DF">
        <w:rPr>
          <w:lang w:val="en-GB"/>
        </w:rPr>
        <w:t xml:space="preserve">care, we converted </w:t>
      </w:r>
      <w:r w:rsidR="00B37BFD">
        <w:rPr>
          <w:lang w:val="en-GB"/>
        </w:rPr>
        <w:t>ICD-10 c</w:t>
      </w:r>
      <w:r w:rsidR="006972DF">
        <w:rPr>
          <w:lang w:val="en-GB"/>
        </w:rPr>
        <w:t xml:space="preserve">odes in </w:t>
      </w:r>
      <w:r w:rsidR="00E95D08">
        <w:rPr>
          <w:lang w:val="en-GB"/>
        </w:rPr>
        <w:t>NPR i</w:t>
      </w:r>
      <w:r w:rsidR="00B37BFD">
        <w:rPr>
          <w:lang w:val="en-GB"/>
        </w:rPr>
        <w:t>nto ICPC-2 codes (one-t</w:t>
      </w:r>
      <w:r w:rsidR="00134B61">
        <w:rPr>
          <w:lang w:val="en-GB"/>
        </w:rPr>
        <w:t>o-one mapping)</w:t>
      </w:r>
      <w:r w:rsidR="006E0501">
        <w:rPr>
          <w:lang w:val="en-GB"/>
        </w:rPr>
        <w:t>.</w:t>
      </w:r>
      <w:r w:rsidR="0065666C">
        <w:rPr>
          <w:lang w:val="en-GB"/>
        </w:rPr>
        <w:t xml:space="preserve"> </w:t>
      </w:r>
      <w:r w:rsidR="00720E73">
        <w:rPr>
          <w:lang w:val="en-GB"/>
        </w:rPr>
        <w:t>We made a</w:t>
      </w:r>
      <w:r w:rsidR="0065666C">
        <w:rPr>
          <w:lang w:val="en-GB"/>
        </w:rPr>
        <w:t>daptations for ICD-10 codes that were not directly translatable to specific ICPC-2 codes</w:t>
      </w:r>
      <w:r w:rsidR="001F4BF9">
        <w:rPr>
          <w:lang w:val="en-GB"/>
        </w:rPr>
        <w:t xml:space="preserve">. For instance, </w:t>
      </w:r>
      <w:r w:rsidR="00E733DF">
        <w:rPr>
          <w:lang w:val="en-GB"/>
        </w:rPr>
        <w:t>where gender-neutral</w:t>
      </w:r>
      <w:r w:rsidR="001F4BF9">
        <w:rPr>
          <w:lang w:val="en-GB"/>
        </w:rPr>
        <w:t xml:space="preserve"> </w:t>
      </w:r>
      <w:r w:rsidR="00E733DF">
        <w:rPr>
          <w:lang w:val="en-GB"/>
        </w:rPr>
        <w:t xml:space="preserve">ICD-10 codes </w:t>
      </w:r>
      <w:r w:rsidR="001F4BF9">
        <w:rPr>
          <w:lang w:val="en-GB"/>
        </w:rPr>
        <w:t>(e.g., S30.2 “Contusion of external genital organs”)</w:t>
      </w:r>
      <w:r w:rsidR="00E733DF">
        <w:rPr>
          <w:lang w:val="en-GB"/>
        </w:rPr>
        <w:t xml:space="preserve"> correspond to gender-specific ICPC-2 codes </w:t>
      </w:r>
      <w:r w:rsidR="006972DF">
        <w:rPr>
          <w:lang w:val="en-GB"/>
        </w:rPr>
        <w:t>(i.e</w:t>
      </w:r>
      <w:r w:rsidR="001F4BF9">
        <w:rPr>
          <w:lang w:val="en-GB"/>
        </w:rPr>
        <w:t xml:space="preserve">., </w:t>
      </w:r>
      <w:r w:rsidR="004734F3">
        <w:rPr>
          <w:lang w:val="en-GB"/>
        </w:rPr>
        <w:t>X82 “Injury genital f</w:t>
      </w:r>
      <w:r w:rsidR="006972DF">
        <w:rPr>
          <w:lang w:val="en-GB"/>
        </w:rPr>
        <w:t>emale” or</w:t>
      </w:r>
      <w:r w:rsidR="004734F3">
        <w:rPr>
          <w:lang w:val="en-GB"/>
        </w:rPr>
        <w:t xml:space="preserve"> </w:t>
      </w:r>
      <w:r w:rsidR="001F4BF9">
        <w:rPr>
          <w:lang w:val="en-GB"/>
        </w:rPr>
        <w:t>Y80</w:t>
      </w:r>
      <w:r w:rsidR="004734F3">
        <w:rPr>
          <w:lang w:val="en-GB"/>
        </w:rPr>
        <w:t xml:space="preserve"> “Injury male geni</w:t>
      </w:r>
      <w:r w:rsidR="00782767">
        <w:rPr>
          <w:lang w:val="en-GB"/>
        </w:rPr>
        <w:t>t</w:t>
      </w:r>
      <w:r w:rsidR="004734F3">
        <w:rPr>
          <w:lang w:val="en-GB"/>
        </w:rPr>
        <w:t>al”)</w:t>
      </w:r>
      <w:r w:rsidR="00E733DF">
        <w:rPr>
          <w:lang w:val="en-GB"/>
        </w:rPr>
        <w:t>,</w:t>
      </w:r>
      <w:r w:rsidR="004734F3">
        <w:rPr>
          <w:lang w:val="en-GB"/>
        </w:rPr>
        <w:t xml:space="preserve"> we </w:t>
      </w:r>
      <w:r w:rsidR="00784CE2">
        <w:rPr>
          <w:lang w:val="en-GB"/>
        </w:rPr>
        <w:t>used the patient’s gender to assign an</w:t>
      </w:r>
      <w:r w:rsidR="004734F3">
        <w:rPr>
          <w:lang w:val="en-GB"/>
        </w:rPr>
        <w:t xml:space="preserve"> ICPC-2 co</w:t>
      </w:r>
      <w:r w:rsidR="00784CE2">
        <w:rPr>
          <w:lang w:val="en-GB"/>
        </w:rPr>
        <w:t>de</w:t>
      </w:r>
      <w:r w:rsidR="004734F3">
        <w:rPr>
          <w:lang w:val="en-GB"/>
        </w:rPr>
        <w:t xml:space="preserve">. </w:t>
      </w:r>
      <w:r w:rsidR="001863CD">
        <w:rPr>
          <w:lang w:val="en-GB"/>
        </w:rPr>
        <w:t>Furthermore, a</w:t>
      </w:r>
      <w:r w:rsidR="000059D2">
        <w:rPr>
          <w:lang w:val="en-GB"/>
        </w:rPr>
        <w:t>s</w:t>
      </w:r>
      <w:r w:rsidR="008655E6">
        <w:rPr>
          <w:lang w:val="en-GB"/>
        </w:rPr>
        <w:t xml:space="preserve"> </w:t>
      </w:r>
      <w:r w:rsidR="001863CD">
        <w:rPr>
          <w:lang w:val="en-GB"/>
        </w:rPr>
        <w:t>codes from chapter XX in ICD-10 lack</w:t>
      </w:r>
      <w:r w:rsidR="006668B6">
        <w:rPr>
          <w:lang w:val="en-GB"/>
        </w:rPr>
        <w:t xml:space="preserve"> a counterpart in ICPC-2</w:t>
      </w:r>
      <w:r w:rsidR="001863CD">
        <w:rPr>
          <w:lang w:val="en-GB"/>
        </w:rPr>
        <w:t xml:space="preserve">, </w:t>
      </w:r>
      <w:r w:rsidR="00720E73">
        <w:rPr>
          <w:lang w:val="en-GB"/>
        </w:rPr>
        <w:t xml:space="preserve">we restricted </w:t>
      </w:r>
      <w:r w:rsidR="001863CD">
        <w:rPr>
          <w:lang w:val="en-GB"/>
        </w:rPr>
        <w:t>this analysis</w:t>
      </w:r>
      <w:r w:rsidR="000059D2">
        <w:rPr>
          <w:lang w:val="en-GB"/>
        </w:rPr>
        <w:t xml:space="preserve"> to codes from chapter XIX</w:t>
      </w:r>
      <w:r w:rsidR="008655E6">
        <w:rPr>
          <w:lang w:val="en-GB"/>
        </w:rPr>
        <w:t xml:space="preserve">. </w:t>
      </w:r>
      <w:r w:rsidR="009F4DDC">
        <w:rPr>
          <w:lang w:val="en-GB"/>
        </w:rPr>
        <w:t xml:space="preserve">After conversion, we </w:t>
      </w:r>
      <w:r w:rsidR="00657FDB">
        <w:rPr>
          <w:lang w:val="en-GB"/>
        </w:rPr>
        <w:t>identified each un</w:t>
      </w:r>
      <w:r>
        <w:rPr>
          <w:lang w:val="en-GB"/>
        </w:rPr>
        <w:t xml:space="preserve">ique ICPC-2 code per </w:t>
      </w:r>
      <w:r w:rsidR="00657FDB">
        <w:rPr>
          <w:lang w:val="en-GB"/>
        </w:rPr>
        <w:t xml:space="preserve">patient and determined </w:t>
      </w:r>
      <w:r>
        <w:rPr>
          <w:lang w:val="en-GB"/>
        </w:rPr>
        <w:t>whether an individual</w:t>
      </w:r>
      <w:r w:rsidR="00B710EB">
        <w:rPr>
          <w:lang w:val="en-GB"/>
        </w:rPr>
        <w:t xml:space="preserve"> </w:t>
      </w:r>
      <w:proofErr w:type="gramStart"/>
      <w:r w:rsidR="00B710EB">
        <w:rPr>
          <w:lang w:val="en-GB"/>
        </w:rPr>
        <w:t xml:space="preserve">was </w:t>
      </w:r>
      <w:r w:rsidR="00657FDB">
        <w:rPr>
          <w:lang w:val="en-GB"/>
        </w:rPr>
        <w:t>registered</w:t>
      </w:r>
      <w:proofErr w:type="gramEnd"/>
      <w:r w:rsidR="00657FDB">
        <w:rPr>
          <w:lang w:val="en-GB"/>
        </w:rPr>
        <w:t xml:space="preserve"> with this code</w:t>
      </w:r>
      <w:r w:rsidR="00015668">
        <w:rPr>
          <w:lang w:val="en-GB"/>
        </w:rPr>
        <w:t xml:space="preserve"> </w:t>
      </w:r>
      <w:r w:rsidR="007021BE">
        <w:rPr>
          <w:lang w:val="en-GB"/>
        </w:rPr>
        <w:t xml:space="preserve">1) </w:t>
      </w:r>
      <w:r w:rsidR="00556754" w:rsidRPr="007021BE">
        <w:rPr>
          <w:lang w:val="en-GB"/>
        </w:rPr>
        <w:lastRenderedPageBreak/>
        <w:t>exclusively</w:t>
      </w:r>
      <w:r w:rsidR="00556754">
        <w:rPr>
          <w:lang w:val="en-GB"/>
        </w:rPr>
        <w:t xml:space="preserve"> in primary care</w:t>
      </w:r>
      <w:r w:rsidR="007021BE">
        <w:rPr>
          <w:lang w:val="en-GB"/>
        </w:rPr>
        <w:t>, 2) exclusively in s</w:t>
      </w:r>
      <w:r w:rsidR="00986F62">
        <w:rPr>
          <w:lang w:val="en-GB"/>
        </w:rPr>
        <w:t>econdary</w:t>
      </w:r>
      <w:r w:rsidR="007021BE">
        <w:rPr>
          <w:lang w:val="en-GB"/>
        </w:rPr>
        <w:t xml:space="preserve"> care</w:t>
      </w:r>
      <w:r w:rsidR="00015668">
        <w:rPr>
          <w:lang w:val="en-GB"/>
        </w:rPr>
        <w:t xml:space="preserve"> or </w:t>
      </w:r>
      <w:r w:rsidR="007021BE">
        <w:rPr>
          <w:lang w:val="en-GB"/>
        </w:rPr>
        <w:t xml:space="preserve">3) </w:t>
      </w:r>
      <w:r w:rsidR="00657FDB">
        <w:rPr>
          <w:lang w:val="en-GB"/>
        </w:rPr>
        <w:t>in</w:t>
      </w:r>
      <w:r w:rsidR="00015668">
        <w:rPr>
          <w:lang w:val="en-GB"/>
        </w:rPr>
        <w:t xml:space="preserve"> </w:t>
      </w:r>
      <w:r w:rsidR="007021BE">
        <w:rPr>
          <w:lang w:val="en-GB"/>
        </w:rPr>
        <w:t xml:space="preserve">both primary and </w:t>
      </w:r>
      <w:r w:rsidR="00015668">
        <w:rPr>
          <w:lang w:val="en-GB"/>
        </w:rPr>
        <w:t>s</w:t>
      </w:r>
      <w:r w:rsidR="00986F62">
        <w:rPr>
          <w:lang w:val="en-GB"/>
        </w:rPr>
        <w:t>econdary</w:t>
      </w:r>
      <w:r w:rsidR="00CC6345">
        <w:rPr>
          <w:lang w:val="en-GB"/>
        </w:rPr>
        <w:t xml:space="preserve"> care</w:t>
      </w:r>
      <w:r>
        <w:rPr>
          <w:lang w:val="en-GB"/>
        </w:rPr>
        <w:t xml:space="preserve"> within a calendar year</w:t>
      </w:r>
      <w:r w:rsidR="00B710EB">
        <w:rPr>
          <w:lang w:val="en-GB"/>
        </w:rPr>
        <w:t>.</w:t>
      </w:r>
      <w:r w:rsidR="00E95D08">
        <w:rPr>
          <w:lang w:val="en-GB"/>
        </w:rPr>
        <w:t xml:space="preserve"> </w:t>
      </w:r>
      <w:r w:rsidR="00C06609">
        <w:rPr>
          <w:lang w:val="en-GB"/>
        </w:rPr>
        <w:t>In this analysis, we excluded ICPC-2 code H77 (“Perforation of ear drum”), as this condition is not classified as an injury in ICD-10</w:t>
      </w:r>
      <w:r w:rsidR="00A56BBC">
        <w:rPr>
          <w:lang w:val="en-GB"/>
        </w:rPr>
        <w:t>, but is instead converted to H72 in chapter VIII (“Diseases of the ear and mastoid process”)</w:t>
      </w:r>
      <w:r w:rsidR="00C06609">
        <w:rPr>
          <w:lang w:val="en-GB"/>
        </w:rPr>
        <w:t xml:space="preserve">. </w:t>
      </w:r>
      <w:r w:rsidR="00564360">
        <w:rPr>
          <w:lang w:val="en-GB"/>
        </w:rPr>
        <w:t xml:space="preserve">All contacts </w:t>
      </w:r>
      <w:r w:rsidR="002F4497">
        <w:rPr>
          <w:lang w:val="en-GB"/>
        </w:rPr>
        <w:t xml:space="preserve">with identical ICPC-2 codes, </w:t>
      </w:r>
      <w:r w:rsidR="00564360">
        <w:rPr>
          <w:lang w:val="en-GB"/>
        </w:rPr>
        <w:t>either actual</w:t>
      </w:r>
      <w:r w:rsidR="002F4497">
        <w:rPr>
          <w:lang w:val="en-GB"/>
        </w:rPr>
        <w:t xml:space="preserve"> (KUHR)</w:t>
      </w:r>
      <w:r w:rsidR="00564360">
        <w:rPr>
          <w:lang w:val="en-GB"/>
        </w:rPr>
        <w:t xml:space="preserve"> or converted</w:t>
      </w:r>
      <w:r w:rsidR="002F4497">
        <w:rPr>
          <w:lang w:val="en-GB"/>
        </w:rPr>
        <w:t xml:space="preserve"> (NPR</w:t>
      </w:r>
      <w:r w:rsidR="00564360">
        <w:rPr>
          <w:lang w:val="en-GB"/>
        </w:rPr>
        <w:t>)</w:t>
      </w:r>
      <w:r w:rsidR="002F4497">
        <w:rPr>
          <w:lang w:val="en-GB"/>
        </w:rPr>
        <w:t>,</w:t>
      </w:r>
      <w:r>
        <w:rPr>
          <w:lang w:val="en-GB"/>
        </w:rPr>
        <w:t xml:space="preserve"> for an individual</w:t>
      </w:r>
      <w:r w:rsidR="00564360">
        <w:rPr>
          <w:lang w:val="en-GB"/>
        </w:rPr>
        <w:t xml:space="preserve"> within a calendar year </w:t>
      </w:r>
      <w:proofErr w:type="gramStart"/>
      <w:r w:rsidR="00564360">
        <w:rPr>
          <w:lang w:val="en-GB"/>
        </w:rPr>
        <w:t>were classified</w:t>
      </w:r>
      <w:proofErr w:type="gramEnd"/>
      <w:r w:rsidR="00564360">
        <w:rPr>
          <w:lang w:val="en-GB"/>
        </w:rPr>
        <w:t xml:space="preserve"> as a single</w:t>
      </w:r>
      <w:r w:rsidR="009B4E60">
        <w:rPr>
          <w:lang w:val="en-GB"/>
        </w:rPr>
        <w:t xml:space="preserve"> injury</w:t>
      </w:r>
      <w:r w:rsidR="00564360">
        <w:rPr>
          <w:lang w:val="en-GB"/>
        </w:rPr>
        <w:t xml:space="preserve"> event</w:t>
      </w:r>
      <w:r w:rsidR="009B4E60">
        <w:rPr>
          <w:lang w:val="en-GB"/>
        </w:rPr>
        <w:t xml:space="preserve">. </w:t>
      </w:r>
      <w:r w:rsidR="0013395C">
        <w:rPr>
          <w:lang w:val="en-GB"/>
        </w:rPr>
        <w:t>Given this assumption</w:t>
      </w:r>
      <w:r>
        <w:rPr>
          <w:lang w:val="en-GB"/>
        </w:rPr>
        <w:t>, for each injury type we estimated the proportion of injuries</w:t>
      </w:r>
      <w:r w:rsidR="00564360">
        <w:rPr>
          <w:lang w:val="en-GB"/>
        </w:rPr>
        <w:t xml:space="preserve"> </w:t>
      </w:r>
      <w:r w:rsidR="0013395C">
        <w:rPr>
          <w:lang w:val="en-GB"/>
        </w:rPr>
        <w:t xml:space="preserve">predominantly treated </w:t>
      </w:r>
      <w:r w:rsidR="002C6281">
        <w:rPr>
          <w:lang w:val="en-GB"/>
        </w:rPr>
        <w:t xml:space="preserve">either </w:t>
      </w:r>
      <w:r w:rsidR="0013395C">
        <w:rPr>
          <w:lang w:val="en-GB"/>
        </w:rPr>
        <w:t xml:space="preserve">in primary </w:t>
      </w:r>
      <w:r w:rsidR="002C6281">
        <w:rPr>
          <w:lang w:val="en-GB"/>
        </w:rPr>
        <w:t>or</w:t>
      </w:r>
      <w:r w:rsidR="0013395C">
        <w:rPr>
          <w:lang w:val="en-GB"/>
        </w:rPr>
        <w:t xml:space="preserve"> s</w:t>
      </w:r>
      <w:r w:rsidR="00986F62">
        <w:rPr>
          <w:lang w:val="en-GB"/>
        </w:rPr>
        <w:t>econdary</w:t>
      </w:r>
      <w:r w:rsidR="0013395C">
        <w:rPr>
          <w:lang w:val="en-GB"/>
        </w:rPr>
        <w:t xml:space="preserve"> c</w:t>
      </w:r>
      <w:r w:rsidR="00015668">
        <w:rPr>
          <w:lang w:val="en-GB"/>
        </w:rPr>
        <w:t>are</w:t>
      </w:r>
      <w:r w:rsidR="007021BE">
        <w:rPr>
          <w:lang w:val="en-GB"/>
        </w:rPr>
        <w:t xml:space="preserve">, and which injuries more often </w:t>
      </w:r>
      <w:proofErr w:type="gramStart"/>
      <w:r w:rsidR="002C6281">
        <w:rPr>
          <w:lang w:val="en-GB"/>
        </w:rPr>
        <w:t>were</w:t>
      </w:r>
      <w:r w:rsidR="009815E5">
        <w:rPr>
          <w:lang w:val="en-GB"/>
        </w:rPr>
        <w:t xml:space="preserve"> </w:t>
      </w:r>
      <w:r w:rsidR="007021BE">
        <w:rPr>
          <w:lang w:val="en-GB"/>
        </w:rPr>
        <w:t>treat</w:t>
      </w:r>
      <w:r w:rsidR="002C6281">
        <w:rPr>
          <w:lang w:val="en-GB"/>
        </w:rPr>
        <w:t>ed</w:t>
      </w:r>
      <w:proofErr w:type="gramEnd"/>
      <w:r w:rsidR="007021BE">
        <w:rPr>
          <w:lang w:val="en-GB"/>
        </w:rPr>
        <w:t xml:space="preserve"> in both</w:t>
      </w:r>
      <w:r w:rsidR="00CC6345">
        <w:rPr>
          <w:lang w:val="en-GB"/>
        </w:rPr>
        <w:t>.</w:t>
      </w:r>
    </w:p>
    <w:p w14:paraId="26D131C3" w14:textId="741ECE6F" w:rsidR="006002D6" w:rsidRDefault="002C6281" w:rsidP="00FE3660">
      <w:pPr>
        <w:rPr>
          <w:lang w:val="en-GB"/>
        </w:rPr>
      </w:pPr>
      <w:r>
        <w:rPr>
          <w:lang w:val="en-GB"/>
        </w:rPr>
        <w:t>The</w:t>
      </w:r>
      <w:r w:rsidR="006002D6">
        <w:rPr>
          <w:lang w:val="en-GB"/>
        </w:rPr>
        <w:t xml:space="preserve"> Regional Committees for Medical and Health Research Ethics</w:t>
      </w:r>
      <w:r w:rsidR="00310BDB">
        <w:rPr>
          <w:lang w:val="en-GB"/>
        </w:rPr>
        <w:t xml:space="preserve"> </w:t>
      </w:r>
      <w:r>
        <w:rPr>
          <w:lang w:val="en-GB"/>
        </w:rPr>
        <w:t xml:space="preserve">in Norway </w:t>
      </w:r>
      <w:r w:rsidR="00310BDB">
        <w:rPr>
          <w:lang w:val="en-GB"/>
        </w:rPr>
        <w:t>provided advance approval for this study</w:t>
      </w:r>
      <w:r w:rsidR="006002D6">
        <w:rPr>
          <w:lang w:val="en-GB"/>
        </w:rPr>
        <w:t xml:space="preserve"> (REC approval number: 2014/1945).</w:t>
      </w:r>
    </w:p>
    <w:p w14:paraId="2F48A56C" w14:textId="77777777" w:rsidR="009C7BB2" w:rsidRDefault="009C7BB2" w:rsidP="00FE3660">
      <w:pPr>
        <w:rPr>
          <w:lang w:val="en-GB"/>
        </w:rPr>
      </w:pPr>
    </w:p>
    <w:p w14:paraId="3DF58294" w14:textId="49CCB45B" w:rsidR="009F4DDC" w:rsidRPr="0027655A" w:rsidRDefault="00084354" w:rsidP="00084354">
      <w:pPr>
        <w:rPr>
          <w:b/>
          <w:lang w:val="en-GB"/>
        </w:rPr>
      </w:pPr>
      <w:r w:rsidRPr="0027655A">
        <w:rPr>
          <w:b/>
          <w:lang w:val="en-GB"/>
        </w:rPr>
        <w:t>RESULTS</w:t>
      </w:r>
    </w:p>
    <w:p w14:paraId="5758E1A6" w14:textId="6362335A" w:rsidR="009E448A" w:rsidRDefault="00047AFB">
      <w:pPr>
        <w:rPr>
          <w:lang w:val="en-GB"/>
        </w:rPr>
      </w:pPr>
      <w:proofErr w:type="gramStart"/>
      <w:r>
        <w:rPr>
          <w:lang w:val="en-GB"/>
        </w:rPr>
        <w:t>A</w:t>
      </w:r>
      <w:r w:rsidR="009F4DDC">
        <w:rPr>
          <w:lang w:val="en-GB"/>
        </w:rPr>
        <w:t xml:space="preserve"> tot</w:t>
      </w:r>
      <w:r w:rsidR="00F8050D">
        <w:rPr>
          <w:lang w:val="en-GB"/>
        </w:rPr>
        <w:t>al of 2</w:t>
      </w:r>
      <w:r w:rsidR="00C724E2">
        <w:rPr>
          <w:lang w:val="en-GB"/>
        </w:rPr>
        <w:t>,</w:t>
      </w:r>
      <w:r w:rsidR="00501C82">
        <w:rPr>
          <w:lang w:val="en-GB"/>
        </w:rPr>
        <w:t>376</w:t>
      </w:r>
      <w:r w:rsidR="00C724E2">
        <w:rPr>
          <w:lang w:val="en-GB"/>
        </w:rPr>
        <w:t>,</w:t>
      </w:r>
      <w:r w:rsidR="00501C82">
        <w:rPr>
          <w:lang w:val="en-GB"/>
        </w:rPr>
        <w:t>946</w:t>
      </w:r>
      <w:proofErr w:type="gramEnd"/>
      <w:r w:rsidR="000F19C7">
        <w:rPr>
          <w:lang w:val="en-GB"/>
        </w:rPr>
        <w:t xml:space="preserve"> individuals were registered with an</w:t>
      </w:r>
      <w:r w:rsidR="000D6FA1">
        <w:rPr>
          <w:lang w:val="en-GB"/>
        </w:rPr>
        <w:t xml:space="preserve"> inju</w:t>
      </w:r>
      <w:r w:rsidR="00905F44">
        <w:rPr>
          <w:lang w:val="en-GB"/>
        </w:rPr>
        <w:t>ry diagnosis</w:t>
      </w:r>
      <w:r w:rsidR="000F19C7">
        <w:rPr>
          <w:lang w:val="en-GB"/>
        </w:rPr>
        <w:t xml:space="preserve"> in the period 2009-2014</w:t>
      </w:r>
      <w:r w:rsidR="001333A4">
        <w:rPr>
          <w:lang w:val="en-GB"/>
        </w:rPr>
        <w:t>. Of these, 1</w:t>
      </w:r>
      <w:r w:rsidR="00C724E2">
        <w:rPr>
          <w:lang w:val="en-GB"/>
        </w:rPr>
        <w:t>,</w:t>
      </w:r>
      <w:r w:rsidR="001333A4">
        <w:rPr>
          <w:lang w:val="en-GB"/>
        </w:rPr>
        <w:t>267</w:t>
      </w:r>
      <w:r w:rsidR="00C724E2">
        <w:rPr>
          <w:lang w:val="en-GB"/>
        </w:rPr>
        <w:t>,</w:t>
      </w:r>
      <w:r w:rsidR="001333A4">
        <w:rPr>
          <w:lang w:val="en-GB"/>
        </w:rPr>
        <w:t>409 (53</w:t>
      </w:r>
      <w:r w:rsidR="00A46FBE">
        <w:rPr>
          <w:lang w:val="en-GB"/>
        </w:rPr>
        <w:t>.3 per cent</w:t>
      </w:r>
      <w:r w:rsidR="001333A4">
        <w:rPr>
          <w:lang w:val="en-GB"/>
        </w:rPr>
        <w:t>) were male and 1</w:t>
      </w:r>
      <w:r w:rsidR="00C724E2">
        <w:rPr>
          <w:lang w:val="en-GB"/>
        </w:rPr>
        <w:t>,</w:t>
      </w:r>
      <w:r w:rsidR="001333A4">
        <w:rPr>
          <w:lang w:val="en-GB"/>
        </w:rPr>
        <w:t>109</w:t>
      </w:r>
      <w:r w:rsidR="00C724E2">
        <w:rPr>
          <w:lang w:val="en-GB"/>
        </w:rPr>
        <w:t>,</w:t>
      </w:r>
      <w:r w:rsidR="001333A4">
        <w:rPr>
          <w:lang w:val="en-GB"/>
        </w:rPr>
        <w:t>537 (4</w:t>
      </w:r>
      <w:r w:rsidR="00A46FBE">
        <w:rPr>
          <w:lang w:val="en-GB"/>
        </w:rPr>
        <w:t>6.7 per cent</w:t>
      </w:r>
      <w:r w:rsidR="001333A4">
        <w:rPr>
          <w:lang w:val="en-GB"/>
        </w:rPr>
        <w:t>) were female.</w:t>
      </w:r>
      <w:r w:rsidR="000F19C7">
        <w:rPr>
          <w:lang w:val="en-GB"/>
        </w:rPr>
        <w:t xml:space="preserve"> </w:t>
      </w:r>
      <w:r w:rsidR="001333A4">
        <w:rPr>
          <w:lang w:val="en-GB"/>
        </w:rPr>
        <w:t xml:space="preserve">These patients </w:t>
      </w:r>
      <w:r w:rsidR="000F19C7">
        <w:rPr>
          <w:lang w:val="en-GB"/>
        </w:rPr>
        <w:t>contribut</w:t>
      </w:r>
      <w:r w:rsidR="001333A4">
        <w:rPr>
          <w:lang w:val="en-GB"/>
        </w:rPr>
        <w:t>ed</w:t>
      </w:r>
      <w:r w:rsidR="000F19C7">
        <w:rPr>
          <w:lang w:val="en-GB"/>
        </w:rPr>
        <w:t xml:space="preserve"> to 8</w:t>
      </w:r>
      <w:r w:rsidR="00C724E2">
        <w:rPr>
          <w:lang w:val="en-GB"/>
        </w:rPr>
        <w:t>,</w:t>
      </w:r>
      <w:r w:rsidR="001333A4">
        <w:rPr>
          <w:lang w:val="en-GB"/>
        </w:rPr>
        <w:t>003</w:t>
      </w:r>
      <w:r w:rsidR="00C724E2">
        <w:rPr>
          <w:lang w:val="en-GB"/>
        </w:rPr>
        <w:t>,</w:t>
      </w:r>
      <w:r w:rsidR="001333A4">
        <w:rPr>
          <w:lang w:val="en-GB"/>
        </w:rPr>
        <w:t>748</w:t>
      </w:r>
      <w:r w:rsidR="000F19C7">
        <w:rPr>
          <w:lang w:val="en-GB"/>
        </w:rPr>
        <w:t xml:space="preserve"> inju</w:t>
      </w:r>
      <w:r w:rsidR="00F40E16">
        <w:rPr>
          <w:lang w:val="en-GB"/>
        </w:rPr>
        <w:t>ry registrations (mean number of registrations</w:t>
      </w:r>
      <w:r w:rsidR="00501C82">
        <w:rPr>
          <w:lang w:val="en-GB"/>
        </w:rPr>
        <w:t xml:space="preserve"> per patient</w:t>
      </w:r>
      <w:r w:rsidR="00D26F8B">
        <w:rPr>
          <w:lang w:val="en-GB"/>
        </w:rPr>
        <w:t>: 3.</w:t>
      </w:r>
      <w:r w:rsidR="000F19C7">
        <w:rPr>
          <w:lang w:val="en-GB"/>
        </w:rPr>
        <w:t xml:space="preserve">4). </w:t>
      </w:r>
      <w:r w:rsidR="003C381E">
        <w:rPr>
          <w:lang w:val="en-GB"/>
        </w:rPr>
        <w:t>A siz</w:t>
      </w:r>
      <w:r w:rsidR="00C724E2">
        <w:rPr>
          <w:lang w:val="en-GB"/>
        </w:rPr>
        <w:t>e</w:t>
      </w:r>
      <w:r w:rsidR="003C381E">
        <w:rPr>
          <w:lang w:val="en-GB"/>
        </w:rPr>
        <w:t xml:space="preserve">able minority (38.6 per cent) of </w:t>
      </w:r>
      <w:r w:rsidR="00A0154F">
        <w:rPr>
          <w:lang w:val="en-GB"/>
        </w:rPr>
        <w:t>these individuals</w:t>
      </w:r>
      <w:r w:rsidR="003C381E">
        <w:rPr>
          <w:lang w:val="en-GB"/>
        </w:rPr>
        <w:t xml:space="preserve"> had only one injury registration </w:t>
      </w:r>
      <w:r w:rsidR="00C724E2">
        <w:rPr>
          <w:lang w:val="en-GB"/>
        </w:rPr>
        <w:t>during</w:t>
      </w:r>
      <w:r w:rsidR="003C381E">
        <w:rPr>
          <w:lang w:val="en-GB"/>
        </w:rPr>
        <w:t xml:space="preserve"> this six-year period, while the </w:t>
      </w:r>
      <w:r w:rsidR="00C724E2">
        <w:rPr>
          <w:lang w:val="en-GB"/>
        </w:rPr>
        <w:t>remainder</w:t>
      </w:r>
      <w:r w:rsidR="003C381E">
        <w:rPr>
          <w:lang w:val="en-GB"/>
        </w:rPr>
        <w:t xml:space="preserve"> (61.4 per cent) had multiple injury registrations.</w:t>
      </w:r>
      <w:r w:rsidR="00074206">
        <w:rPr>
          <w:lang w:val="en-GB"/>
        </w:rPr>
        <w:t xml:space="preserve"> </w:t>
      </w:r>
      <w:r w:rsidR="00C724E2">
        <w:rPr>
          <w:lang w:val="en-GB"/>
        </w:rPr>
        <w:t>The</w:t>
      </w:r>
      <w:r w:rsidR="00D058F6">
        <w:rPr>
          <w:lang w:val="en-GB"/>
        </w:rPr>
        <w:t xml:space="preserve"> majority of</w:t>
      </w:r>
      <w:r w:rsidR="00A51187">
        <w:rPr>
          <w:lang w:val="en-GB"/>
        </w:rPr>
        <w:t xml:space="preserve"> </w:t>
      </w:r>
      <w:r w:rsidR="00A0154F">
        <w:rPr>
          <w:lang w:val="en-GB"/>
        </w:rPr>
        <w:t>all patients</w:t>
      </w:r>
      <w:r w:rsidR="00D058F6">
        <w:rPr>
          <w:lang w:val="en-GB"/>
        </w:rPr>
        <w:t xml:space="preserve"> (</w:t>
      </w:r>
      <w:r w:rsidR="00A51187">
        <w:rPr>
          <w:lang w:val="en-GB"/>
        </w:rPr>
        <w:t>61.7</w:t>
      </w:r>
      <w:r w:rsidR="00F40E16">
        <w:rPr>
          <w:lang w:val="en-GB"/>
        </w:rPr>
        <w:t xml:space="preserve"> per cent) had injury registrations</w:t>
      </w:r>
      <w:r w:rsidR="00D058F6">
        <w:rPr>
          <w:lang w:val="en-GB"/>
        </w:rPr>
        <w:t xml:space="preserve"> limited to one calendar year, while an additional </w:t>
      </w:r>
      <w:r w:rsidR="005F3834">
        <w:rPr>
          <w:lang w:val="en-GB"/>
        </w:rPr>
        <w:t>25</w:t>
      </w:r>
      <w:r w:rsidR="00A51187">
        <w:rPr>
          <w:lang w:val="en-GB"/>
        </w:rPr>
        <w:t>.1</w:t>
      </w:r>
      <w:r w:rsidR="005F3834">
        <w:rPr>
          <w:lang w:val="en-GB"/>
        </w:rPr>
        <w:t xml:space="preserve"> per cent</w:t>
      </w:r>
      <w:r w:rsidR="00D058F6">
        <w:rPr>
          <w:lang w:val="en-GB"/>
        </w:rPr>
        <w:t xml:space="preserve"> had registrations </w:t>
      </w:r>
      <w:r w:rsidR="00C724E2">
        <w:rPr>
          <w:lang w:val="en-GB"/>
        </w:rPr>
        <w:t xml:space="preserve">in </w:t>
      </w:r>
      <w:r w:rsidR="00D058F6">
        <w:rPr>
          <w:lang w:val="en-GB"/>
        </w:rPr>
        <w:t>two separate years</w:t>
      </w:r>
      <w:r w:rsidR="00A51187">
        <w:rPr>
          <w:lang w:val="en-GB"/>
        </w:rPr>
        <w:t xml:space="preserve"> (either two consecutive or two intermittent years)</w:t>
      </w:r>
      <w:r w:rsidR="00D058F6">
        <w:rPr>
          <w:lang w:val="en-GB"/>
        </w:rPr>
        <w:t>.</w:t>
      </w:r>
      <w:r w:rsidR="00D26F8B">
        <w:rPr>
          <w:lang w:val="en-GB"/>
        </w:rPr>
        <w:t xml:space="preserve"> A small proportion</w:t>
      </w:r>
      <w:r w:rsidR="009E448A">
        <w:rPr>
          <w:lang w:val="en-GB"/>
        </w:rPr>
        <w:t xml:space="preserve"> </w:t>
      </w:r>
      <w:r w:rsidR="00194348">
        <w:rPr>
          <w:lang w:val="en-GB"/>
        </w:rPr>
        <w:t xml:space="preserve">were registered with an injury diagnosis </w:t>
      </w:r>
      <w:r w:rsidR="00D07081">
        <w:rPr>
          <w:lang w:val="en-GB"/>
        </w:rPr>
        <w:t xml:space="preserve">in </w:t>
      </w:r>
      <w:r w:rsidR="00A46FBE">
        <w:rPr>
          <w:lang w:val="en-GB"/>
        </w:rPr>
        <w:t xml:space="preserve">three (9.1 per cent), </w:t>
      </w:r>
      <w:r w:rsidR="00194348">
        <w:rPr>
          <w:lang w:val="en-GB"/>
        </w:rPr>
        <w:t>four</w:t>
      </w:r>
      <w:r w:rsidR="00D07081">
        <w:rPr>
          <w:lang w:val="en-GB"/>
        </w:rPr>
        <w:t xml:space="preserve"> (3.0 per cent)</w:t>
      </w:r>
      <w:r w:rsidR="00575F1C">
        <w:rPr>
          <w:lang w:val="en-GB"/>
        </w:rPr>
        <w:t>, five</w:t>
      </w:r>
      <w:r w:rsidR="00D07081">
        <w:rPr>
          <w:lang w:val="en-GB"/>
        </w:rPr>
        <w:t xml:space="preserve"> (0.9 per cent)</w:t>
      </w:r>
      <w:r w:rsidR="00575F1C">
        <w:rPr>
          <w:lang w:val="en-GB"/>
        </w:rPr>
        <w:t xml:space="preserve"> or all six</w:t>
      </w:r>
      <w:r w:rsidR="009E448A">
        <w:rPr>
          <w:lang w:val="en-GB"/>
        </w:rPr>
        <w:t xml:space="preserve"> </w:t>
      </w:r>
      <w:r w:rsidR="00D07081">
        <w:rPr>
          <w:lang w:val="en-GB"/>
        </w:rPr>
        <w:t>years (0.2 per cent)</w:t>
      </w:r>
      <w:r w:rsidR="009E448A">
        <w:rPr>
          <w:lang w:val="en-GB"/>
        </w:rPr>
        <w:t>.</w:t>
      </w:r>
      <w:r w:rsidR="000842E2">
        <w:rPr>
          <w:lang w:val="en-GB"/>
        </w:rPr>
        <w:t xml:space="preserve"> </w:t>
      </w:r>
    </w:p>
    <w:p w14:paraId="1EFF9AF0" w14:textId="472196A9" w:rsidR="00E0281D" w:rsidRDefault="00E52C00" w:rsidP="00A0154F">
      <w:pPr>
        <w:pStyle w:val="Undertittel"/>
        <w:rPr>
          <w:lang w:val="en-GB"/>
        </w:rPr>
      </w:pPr>
      <w:r>
        <w:rPr>
          <w:lang w:val="en-GB"/>
        </w:rPr>
        <w:t>Overall i</w:t>
      </w:r>
      <w:r w:rsidR="00E0281D">
        <w:rPr>
          <w:lang w:val="en-GB"/>
        </w:rPr>
        <w:t>ncidence rates and time trends</w:t>
      </w:r>
    </w:p>
    <w:p w14:paraId="479F2A12" w14:textId="45B4809E" w:rsidR="00BF437A" w:rsidRDefault="00047AFB" w:rsidP="00BF437A">
      <w:pPr>
        <w:rPr>
          <w:lang w:val="en-GB"/>
        </w:rPr>
      </w:pPr>
      <w:r>
        <w:rPr>
          <w:lang w:val="en-GB"/>
        </w:rPr>
        <w:t>T</w:t>
      </w:r>
      <w:r w:rsidR="00BF437A">
        <w:rPr>
          <w:lang w:val="en-GB"/>
        </w:rPr>
        <w:t xml:space="preserve">he population of </w:t>
      </w:r>
      <w:r w:rsidR="009815E5">
        <w:rPr>
          <w:lang w:val="en-GB"/>
        </w:rPr>
        <w:t>injured</w:t>
      </w:r>
      <w:r w:rsidR="00BF437A">
        <w:rPr>
          <w:lang w:val="en-GB"/>
        </w:rPr>
        <w:t xml:space="preserve"> patients in Norway consisted on average of 621</w:t>
      </w:r>
      <w:r w:rsidR="00C724E2">
        <w:rPr>
          <w:lang w:val="en-GB"/>
        </w:rPr>
        <w:t>,</w:t>
      </w:r>
      <w:r w:rsidR="00BF437A">
        <w:rPr>
          <w:lang w:val="en-GB"/>
        </w:rPr>
        <w:t xml:space="preserve">701 individuals </w:t>
      </w:r>
      <w:r>
        <w:rPr>
          <w:lang w:val="en-GB"/>
        </w:rPr>
        <w:t xml:space="preserve">annually </w:t>
      </w:r>
      <w:r w:rsidR="00BF437A">
        <w:rPr>
          <w:lang w:val="en-GB"/>
        </w:rPr>
        <w:t xml:space="preserve">between 2009 and 2014, corresponding to a crude rate of 124.7 injured patients per 1000 </w:t>
      </w:r>
      <w:r w:rsidR="00BF437A">
        <w:rPr>
          <w:lang w:val="en-GB"/>
        </w:rPr>
        <w:lastRenderedPageBreak/>
        <w:t xml:space="preserve">inhabitants. </w:t>
      </w:r>
      <w:r w:rsidR="00054BCC">
        <w:rPr>
          <w:lang w:val="en-GB"/>
        </w:rPr>
        <w:t>Overall, incidence rates were much higher in primary care than in s</w:t>
      </w:r>
      <w:r w:rsidR="00986F62">
        <w:rPr>
          <w:lang w:val="en-GB"/>
        </w:rPr>
        <w:t>econdary</w:t>
      </w:r>
      <w:r w:rsidR="00054BCC">
        <w:rPr>
          <w:lang w:val="en-GB"/>
        </w:rPr>
        <w:t xml:space="preserve"> care, but both patient groups showed stable time trends over the observation period (</w:t>
      </w:r>
      <w:r w:rsidR="009815E5">
        <w:rPr>
          <w:lang w:val="en-GB"/>
        </w:rPr>
        <w:t>F</w:t>
      </w:r>
      <w:r w:rsidR="00054BCC">
        <w:rPr>
          <w:lang w:val="en-GB"/>
        </w:rPr>
        <w:t xml:space="preserve">igure 1). </w:t>
      </w:r>
      <w:r>
        <w:rPr>
          <w:lang w:val="en-GB"/>
        </w:rPr>
        <w:t>Ove</w:t>
      </w:r>
      <w:r w:rsidR="00054BCC">
        <w:rPr>
          <w:lang w:val="en-GB"/>
        </w:rPr>
        <w:t>r half of the injured population</w:t>
      </w:r>
      <w:r>
        <w:rPr>
          <w:lang w:val="en-GB"/>
        </w:rPr>
        <w:t xml:space="preserve"> (54.6 per cent) </w:t>
      </w:r>
      <w:r w:rsidR="00135F7E">
        <w:rPr>
          <w:lang w:val="en-GB"/>
        </w:rPr>
        <w:t>received treatment</w:t>
      </w:r>
      <w:r>
        <w:rPr>
          <w:lang w:val="en-GB"/>
        </w:rPr>
        <w:t xml:space="preserve"> exclusively in primary care, while 25.5 per cent </w:t>
      </w:r>
      <w:r w:rsidR="00135F7E">
        <w:rPr>
          <w:lang w:val="en-GB"/>
        </w:rPr>
        <w:t>received treatment</w:t>
      </w:r>
      <w:r>
        <w:rPr>
          <w:lang w:val="en-GB"/>
        </w:rPr>
        <w:t xml:space="preserve"> exclusively in s</w:t>
      </w:r>
      <w:r w:rsidR="00986F62">
        <w:rPr>
          <w:lang w:val="en-GB"/>
        </w:rPr>
        <w:t>econdary</w:t>
      </w:r>
      <w:r>
        <w:rPr>
          <w:lang w:val="en-GB"/>
        </w:rPr>
        <w:t xml:space="preserve"> care. The remaining 19.9 per cent received treatment in both s</w:t>
      </w:r>
      <w:r w:rsidR="00986F62">
        <w:rPr>
          <w:lang w:val="en-GB"/>
        </w:rPr>
        <w:t>econdary</w:t>
      </w:r>
      <w:r>
        <w:rPr>
          <w:lang w:val="en-GB"/>
        </w:rPr>
        <w:t xml:space="preserve"> and primary care </w:t>
      </w:r>
      <w:r w:rsidR="00054BCC">
        <w:rPr>
          <w:lang w:val="en-GB"/>
        </w:rPr>
        <w:t xml:space="preserve">within </w:t>
      </w:r>
      <w:r>
        <w:rPr>
          <w:lang w:val="en-GB"/>
        </w:rPr>
        <w:t>the same calendar year, either for the same injury</w:t>
      </w:r>
      <w:r w:rsidR="00310BDB">
        <w:rPr>
          <w:lang w:val="en-GB"/>
        </w:rPr>
        <w:t xml:space="preserve"> (i.e., referrals or follow-up treatment)</w:t>
      </w:r>
      <w:r>
        <w:rPr>
          <w:lang w:val="en-GB"/>
        </w:rPr>
        <w:t xml:space="preserve"> or for different injuries. </w:t>
      </w:r>
    </w:p>
    <w:p w14:paraId="0201A8D1" w14:textId="65EBED61" w:rsidR="00102ADE" w:rsidRDefault="00102ADE" w:rsidP="00102ADE">
      <w:pPr>
        <w:jc w:val="center"/>
        <w:rPr>
          <w:lang w:val="en-GB"/>
        </w:rPr>
      </w:pPr>
      <w:r>
        <w:rPr>
          <w:lang w:val="en-GB"/>
        </w:rPr>
        <w:t>[</w:t>
      </w:r>
      <w:proofErr w:type="gramStart"/>
      <w:r>
        <w:rPr>
          <w:lang w:val="en-GB"/>
        </w:rPr>
        <w:t>insert</w:t>
      </w:r>
      <w:proofErr w:type="gramEnd"/>
      <w:r>
        <w:rPr>
          <w:lang w:val="en-GB"/>
        </w:rPr>
        <w:t xml:space="preserve"> </w:t>
      </w:r>
      <w:r w:rsidR="001D3AEF">
        <w:rPr>
          <w:lang w:val="en-GB"/>
        </w:rPr>
        <w:t>F</w:t>
      </w:r>
      <w:r>
        <w:rPr>
          <w:lang w:val="en-GB"/>
        </w:rPr>
        <w:t>igure 1</w:t>
      </w:r>
      <w:r w:rsidR="00FD2D2C">
        <w:rPr>
          <w:lang w:val="en-GB"/>
        </w:rPr>
        <w:t xml:space="preserve"> here</w:t>
      </w:r>
      <w:r>
        <w:rPr>
          <w:lang w:val="en-GB"/>
        </w:rPr>
        <w:t>]</w:t>
      </w:r>
    </w:p>
    <w:p w14:paraId="751C15D1" w14:textId="0F0C4A91" w:rsidR="00F6305D" w:rsidRPr="00225114" w:rsidRDefault="004A1DC0" w:rsidP="00F6305D">
      <w:pPr>
        <w:rPr>
          <w:lang w:val="en-GB"/>
        </w:rPr>
      </w:pPr>
      <w:r>
        <w:rPr>
          <w:lang w:val="en-GB"/>
        </w:rPr>
        <w:t xml:space="preserve">  </w:t>
      </w:r>
    </w:p>
    <w:p w14:paraId="1328F0D9" w14:textId="118E53C5" w:rsidR="00FC5DE9" w:rsidRDefault="00786889" w:rsidP="00D92B80">
      <w:pPr>
        <w:pStyle w:val="Undertittel"/>
        <w:rPr>
          <w:rFonts w:eastAsiaTheme="majorEastAsia"/>
          <w:lang w:val="en-GB"/>
        </w:rPr>
      </w:pPr>
      <w:r>
        <w:rPr>
          <w:rFonts w:eastAsiaTheme="majorEastAsia"/>
          <w:lang w:val="en-GB"/>
        </w:rPr>
        <w:t>Injury incidence by ag</w:t>
      </w:r>
      <w:r w:rsidR="00FC5DE9" w:rsidRPr="00FC5DE9">
        <w:rPr>
          <w:rFonts w:eastAsiaTheme="majorEastAsia"/>
          <w:lang w:val="en-GB"/>
        </w:rPr>
        <w:t>e</w:t>
      </w:r>
      <w:r>
        <w:rPr>
          <w:rFonts w:eastAsiaTheme="majorEastAsia"/>
          <w:lang w:val="en-GB"/>
        </w:rPr>
        <w:t xml:space="preserve"> and gender</w:t>
      </w:r>
    </w:p>
    <w:p w14:paraId="724364C8" w14:textId="5D8C097A" w:rsidR="00DE324F" w:rsidRDefault="00054BCC" w:rsidP="002E3C7D">
      <w:pPr>
        <w:rPr>
          <w:lang w:val="en-GB"/>
        </w:rPr>
      </w:pPr>
      <w:r>
        <w:rPr>
          <w:lang w:val="en-GB"/>
        </w:rPr>
        <w:t>Figure 2</w:t>
      </w:r>
      <w:r w:rsidR="00893F19">
        <w:rPr>
          <w:lang w:val="en-GB"/>
        </w:rPr>
        <w:t xml:space="preserve"> shows</w:t>
      </w:r>
      <w:r w:rsidR="00BF17F8">
        <w:rPr>
          <w:lang w:val="en-GB"/>
        </w:rPr>
        <w:t xml:space="preserve"> </w:t>
      </w:r>
      <w:r>
        <w:rPr>
          <w:lang w:val="en-GB"/>
        </w:rPr>
        <w:t xml:space="preserve">the annual incidence rates of injured patients </w:t>
      </w:r>
      <w:r w:rsidR="00DB3A45">
        <w:rPr>
          <w:lang w:val="en-GB"/>
        </w:rPr>
        <w:t>treated in primary care (KUHR) and s</w:t>
      </w:r>
      <w:r w:rsidR="00986F62">
        <w:rPr>
          <w:lang w:val="en-GB"/>
        </w:rPr>
        <w:t>econdary</w:t>
      </w:r>
      <w:r w:rsidR="00DB3A45">
        <w:rPr>
          <w:lang w:val="en-GB"/>
        </w:rPr>
        <w:t xml:space="preserve"> care (NPR)</w:t>
      </w:r>
      <w:r>
        <w:rPr>
          <w:lang w:val="en-GB"/>
        </w:rPr>
        <w:t xml:space="preserve"> across five-year age groups</w:t>
      </w:r>
      <w:r w:rsidR="00DB3A45">
        <w:rPr>
          <w:lang w:val="en-GB"/>
        </w:rPr>
        <w:t>.</w:t>
      </w:r>
      <w:r w:rsidR="00BB6D26">
        <w:rPr>
          <w:lang w:val="en-GB"/>
        </w:rPr>
        <w:t xml:space="preserve"> </w:t>
      </w:r>
      <w:r w:rsidR="0070334A">
        <w:rPr>
          <w:lang w:val="en-GB"/>
        </w:rPr>
        <w:t>Patients who received treatment in both primary and s</w:t>
      </w:r>
      <w:r w:rsidR="00986F62">
        <w:rPr>
          <w:lang w:val="en-GB"/>
        </w:rPr>
        <w:t>econdary</w:t>
      </w:r>
      <w:r w:rsidR="0070334A">
        <w:rPr>
          <w:lang w:val="en-GB"/>
        </w:rPr>
        <w:t xml:space="preserve"> care within</w:t>
      </w:r>
      <w:r>
        <w:rPr>
          <w:lang w:val="en-GB"/>
        </w:rPr>
        <w:t xml:space="preserve"> the same calendar year were </w:t>
      </w:r>
      <w:r w:rsidR="007204BE">
        <w:rPr>
          <w:lang w:val="en-GB"/>
        </w:rPr>
        <w:t xml:space="preserve">only </w:t>
      </w:r>
      <w:r>
        <w:rPr>
          <w:lang w:val="en-GB"/>
        </w:rPr>
        <w:t>included in the s</w:t>
      </w:r>
      <w:r w:rsidR="00986F62">
        <w:rPr>
          <w:lang w:val="en-GB"/>
        </w:rPr>
        <w:t>econdary</w:t>
      </w:r>
      <w:r>
        <w:rPr>
          <w:lang w:val="en-GB"/>
        </w:rPr>
        <w:t xml:space="preserve"> care</w:t>
      </w:r>
      <w:r w:rsidR="0070334A">
        <w:rPr>
          <w:lang w:val="en-GB"/>
        </w:rPr>
        <w:t xml:space="preserve"> category. This figure thus presents the age distribution of those patients exclusively treated in primary care, in relation to</w:t>
      </w:r>
      <w:r w:rsidR="00696610">
        <w:rPr>
          <w:lang w:val="en-GB"/>
        </w:rPr>
        <w:t xml:space="preserve"> all</w:t>
      </w:r>
      <w:r w:rsidR="0070334A">
        <w:rPr>
          <w:lang w:val="en-GB"/>
        </w:rPr>
        <w:t xml:space="preserve"> injured patients treated in s</w:t>
      </w:r>
      <w:r w:rsidR="0069298A">
        <w:rPr>
          <w:lang w:val="en-GB"/>
        </w:rPr>
        <w:t>econdary</w:t>
      </w:r>
      <w:r w:rsidR="0070334A">
        <w:rPr>
          <w:lang w:val="en-GB"/>
        </w:rPr>
        <w:t xml:space="preserve"> care (including those who also receive</w:t>
      </w:r>
      <w:r w:rsidR="00D71853">
        <w:rPr>
          <w:lang w:val="en-GB"/>
        </w:rPr>
        <w:t>d</w:t>
      </w:r>
      <w:r w:rsidR="0070334A">
        <w:rPr>
          <w:lang w:val="en-GB"/>
        </w:rPr>
        <w:t xml:space="preserve"> treatment in primary ca</w:t>
      </w:r>
      <w:r w:rsidR="00F8050D">
        <w:rPr>
          <w:lang w:val="en-GB"/>
        </w:rPr>
        <w:t xml:space="preserve">re </w:t>
      </w:r>
      <w:r w:rsidR="00D71853">
        <w:rPr>
          <w:lang w:val="en-GB"/>
        </w:rPr>
        <w:t xml:space="preserve">in </w:t>
      </w:r>
      <w:r w:rsidR="00F8050D">
        <w:rPr>
          <w:lang w:val="en-GB"/>
        </w:rPr>
        <w:t xml:space="preserve">the same year) and </w:t>
      </w:r>
      <w:r w:rsidR="001D3AEF">
        <w:rPr>
          <w:lang w:val="en-GB"/>
        </w:rPr>
        <w:t>the total injured population</w:t>
      </w:r>
      <w:r w:rsidR="00DB3A45">
        <w:rPr>
          <w:lang w:val="en-GB"/>
        </w:rPr>
        <w:t xml:space="preserve">. </w:t>
      </w:r>
    </w:p>
    <w:p w14:paraId="4FE6C3D1" w14:textId="13CD8972" w:rsidR="001D3AEF" w:rsidRDefault="00054BCC" w:rsidP="001D3AEF">
      <w:pPr>
        <w:jc w:val="center"/>
        <w:rPr>
          <w:lang w:val="en-GB"/>
        </w:rPr>
      </w:pPr>
      <w:r>
        <w:rPr>
          <w:lang w:val="en-GB"/>
        </w:rPr>
        <w:t>[</w:t>
      </w:r>
      <w:proofErr w:type="gramStart"/>
      <w:r>
        <w:rPr>
          <w:lang w:val="en-GB"/>
        </w:rPr>
        <w:t>insert</w:t>
      </w:r>
      <w:proofErr w:type="gramEnd"/>
      <w:r>
        <w:rPr>
          <w:lang w:val="en-GB"/>
        </w:rPr>
        <w:t xml:space="preserve"> Figure 2</w:t>
      </w:r>
      <w:r w:rsidR="001D3AEF">
        <w:rPr>
          <w:lang w:val="en-GB"/>
        </w:rPr>
        <w:t xml:space="preserve"> here]</w:t>
      </w:r>
    </w:p>
    <w:p w14:paraId="19276C12" w14:textId="5C103ADD" w:rsidR="001D3AEF" w:rsidRDefault="00753AE9" w:rsidP="002E3C7D">
      <w:pPr>
        <w:rPr>
          <w:lang w:val="en-GB"/>
        </w:rPr>
      </w:pPr>
      <w:r>
        <w:rPr>
          <w:lang w:val="en-GB"/>
        </w:rPr>
        <w:t>Compared to patients receiving treatment in s</w:t>
      </w:r>
      <w:r w:rsidR="0069298A">
        <w:rPr>
          <w:lang w:val="en-GB"/>
        </w:rPr>
        <w:t>econdary</w:t>
      </w:r>
      <w:r>
        <w:rPr>
          <w:lang w:val="en-GB"/>
        </w:rPr>
        <w:t xml:space="preserve"> care, i</w:t>
      </w:r>
      <w:r w:rsidR="00F40D61">
        <w:rPr>
          <w:lang w:val="en-GB"/>
        </w:rPr>
        <w:t xml:space="preserve">ncidence rates </w:t>
      </w:r>
      <w:r w:rsidR="002310EF">
        <w:rPr>
          <w:lang w:val="en-GB"/>
        </w:rPr>
        <w:t xml:space="preserve">of </w:t>
      </w:r>
      <w:r w:rsidR="0070334A">
        <w:rPr>
          <w:lang w:val="en-GB"/>
        </w:rPr>
        <w:t xml:space="preserve">injured </w:t>
      </w:r>
      <w:r w:rsidR="002310EF">
        <w:rPr>
          <w:lang w:val="en-GB"/>
        </w:rPr>
        <w:t xml:space="preserve">patients exclusively treated in primary care </w:t>
      </w:r>
      <w:r w:rsidR="00F40D61">
        <w:rPr>
          <w:lang w:val="en-GB"/>
        </w:rPr>
        <w:t>were higher for th</w:t>
      </w:r>
      <w:r w:rsidR="005302FE">
        <w:rPr>
          <w:lang w:val="en-GB"/>
        </w:rPr>
        <w:t>e youngest children (0-9 years)</w:t>
      </w:r>
      <w:r w:rsidR="00DF3136">
        <w:rPr>
          <w:lang w:val="en-GB"/>
        </w:rPr>
        <w:t xml:space="preserve"> and in middle </w:t>
      </w:r>
      <w:r w:rsidR="009B2543">
        <w:rPr>
          <w:lang w:val="en-GB"/>
        </w:rPr>
        <w:t>adulthoo</w:t>
      </w:r>
      <w:r w:rsidR="004848DA">
        <w:rPr>
          <w:lang w:val="en-GB"/>
        </w:rPr>
        <w:t>d</w:t>
      </w:r>
      <w:r w:rsidR="00DF3136">
        <w:rPr>
          <w:lang w:val="en-GB"/>
        </w:rPr>
        <w:t xml:space="preserve"> (35-64 years)</w:t>
      </w:r>
      <w:r w:rsidR="005302FE">
        <w:rPr>
          <w:lang w:val="en-GB"/>
        </w:rPr>
        <w:t>.</w:t>
      </w:r>
      <w:r w:rsidR="0094430E">
        <w:rPr>
          <w:lang w:val="en-GB"/>
        </w:rPr>
        <w:t xml:space="preserve"> </w:t>
      </w:r>
      <w:r w:rsidR="004848DA">
        <w:rPr>
          <w:lang w:val="en-GB"/>
        </w:rPr>
        <w:t>Wi</w:t>
      </w:r>
      <w:r w:rsidR="00054BCC">
        <w:rPr>
          <w:lang w:val="en-GB"/>
        </w:rPr>
        <w:t>th advancing age</w:t>
      </w:r>
      <w:r w:rsidR="00313859">
        <w:rPr>
          <w:lang w:val="en-GB"/>
        </w:rPr>
        <w:t>,</w:t>
      </w:r>
      <w:r w:rsidR="00054BCC">
        <w:rPr>
          <w:lang w:val="en-GB"/>
        </w:rPr>
        <w:t xml:space="preserve"> this pattern</w:t>
      </w:r>
      <w:r w:rsidR="007204BE">
        <w:rPr>
          <w:lang w:val="en-GB"/>
        </w:rPr>
        <w:t xml:space="preserve"> reversed, </w:t>
      </w:r>
      <w:r w:rsidR="000F6285">
        <w:rPr>
          <w:lang w:val="en-GB"/>
        </w:rPr>
        <w:t>and</w:t>
      </w:r>
      <w:r w:rsidR="00054BCC">
        <w:rPr>
          <w:lang w:val="en-GB"/>
        </w:rPr>
        <w:t xml:space="preserve"> incidence rates</w:t>
      </w:r>
      <w:r w:rsidR="00310BDB">
        <w:rPr>
          <w:lang w:val="en-GB"/>
        </w:rPr>
        <w:t xml:space="preserve"> for treatment in s</w:t>
      </w:r>
      <w:r w:rsidR="0069298A">
        <w:rPr>
          <w:lang w:val="en-GB"/>
        </w:rPr>
        <w:t>econdary</w:t>
      </w:r>
      <w:r w:rsidR="00310BDB">
        <w:rPr>
          <w:lang w:val="en-GB"/>
        </w:rPr>
        <w:t xml:space="preserve"> care</w:t>
      </w:r>
      <w:r w:rsidR="00054BCC">
        <w:rPr>
          <w:lang w:val="en-GB"/>
        </w:rPr>
        <w:t xml:space="preserve"> </w:t>
      </w:r>
      <w:r w:rsidR="00D71853">
        <w:rPr>
          <w:lang w:val="en-GB"/>
        </w:rPr>
        <w:t>formed</w:t>
      </w:r>
      <w:r w:rsidR="00054BCC">
        <w:rPr>
          <w:lang w:val="en-GB"/>
        </w:rPr>
        <w:t xml:space="preserve"> a steep</w:t>
      </w:r>
      <w:r w:rsidR="00310BDB">
        <w:rPr>
          <w:lang w:val="en-GB"/>
        </w:rPr>
        <w:t xml:space="preserve"> slope</w:t>
      </w:r>
      <w:r w:rsidR="00BF17F8">
        <w:rPr>
          <w:lang w:val="en-GB"/>
        </w:rPr>
        <w:t xml:space="preserve"> aft</w:t>
      </w:r>
      <w:r w:rsidR="00313859">
        <w:rPr>
          <w:lang w:val="en-GB"/>
        </w:rPr>
        <w:t>er 70 years. We also observe</w:t>
      </w:r>
      <w:r w:rsidR="00BF17F8">
        <w:rPr>
          <w:lang w:val="en-GB"/>
        </w:rPr>
        <w:t>d a distinct peak for adolescen</w:t>
      </w:r>
      <w:r>
        <w:rPr>
          <w:lang w:val="en-GB"/>
        </w:rPr>
        <w:t>ts</w:t>
      </w:r>
      <w:r w:rsidR="00BF17F8">
        <w:rPr>
          <w:lang w:val="en-GB"/>
        </w:rPr>
        <w:t xml:space="preserve"> in s</w:t>
      </w:r>
      <w:r w:rsidR="0069298A">
        <w:rPr>
          <w:lang w:val="en-GB"/>
        </w:rPr>
        <w:t>econdary</w:t>
      </w:r>
      <w:r w:rsidR="00BF17F8">
        <w:rPr>
          <w:lang w:val="en-GB"/>
        </w:rPr>
        <w:t xml:space="preserve"> care but not for treatment in primary care</w:t>
      </w:r>
      <w:r w:rsidR="002771A6">
        <w:rPr>
          <w:lang w:val="en-GB"/>
        </w:rPr>
        <w:t xml:space="preserve">, where </w:t>
      </w:r>
      <w:r w:rsidR="002310EF">
        <w:rPr>
          <w:lang w:val="en-GB"/>
        </w:rPr>
        <w:t xml:space="preserve">the age distribution </w:t>
      </w:r>
      <w:r w:rsidR="006601E5">
        <w:rPr>
          <w:lang w:val="en-GB"/>
        </w:rPr>
        <w:t>was</w:t>
      </w:r>
      <w:r w:rsidR="00DF3136">
        <w:rPr>
          <w:lang w:val="en-GB"/>
        </w:rPr>
        <w:t xml:space="preserve"> </w:t>
      </w:r>
      <w:proofErr w:type="gramStart"/>
      <w:r w:rsidR="00CC07A2">
        <w:rPr>
          <w:lang w:val="en-GB"/>
        </w:rPr>
        <w:t>more uniform</w:t>
      </w:r>
      <w:proofErr w:type="gramEnd"/>
      <w:r w:rsidR="00DD5D3A">
        <w:rPr>
          <w:lang w:val="en-GB"/>
        </w:rPr>
        <w:t>.</w:t>
      </w:r>
      <w:r w:rsidR="00E672F7">
        <w:rPr>
          <w:lang w:val="en-GB"/>
        </w:rPr>
        <w:t xml:space="preserve"> </w:t>
      </w:r>
    </w:p>
    <w:p w14:paraId="3858BB4C" w14:textId="38B702F8" w:rsidR="003D508B" w:rsidRDefault="00CA72D2" w:rsidP="002E3C7D">
      <w:pPr>
        <w:rPr>
          <w:lang w:val="en-GB"/>
        </w:rPr>
      </w:pPr>
      <w:r>
        <w:rPr>
          <w:lang w:val="en-GB"/>
        </w:rPr>
        <w:lastRenderedPageBreak/>
        <w:t>Overall, incidence rates were higher for men than for women</w:t>
      </w:r>
      <w:r w:rsidR="002771A6">
        <w:rPr>
          <w:lang w:val="en-GB"/>
        </w:rPr>
        <w:t>,</w:t>
      </w:r>
      <w:r w:rsidR="00D26D96">
        <w:rPr>
          <w:lang w:val="en-GB"/>
        </w:rPr>
        <w:t xml:space="preserve"> </w:t>
      </w:r>
      <w:r w:rsidR="00313859">
        <w:rPr>
          <w:lang w:val="en-GB"/>
        </w:rPr>
        <w:t>and this was particularly evident in the 20-3</w:t>
      </w:r>
      <w:r w:rsidR="00DF5E3C">
        <w:rPr>
          <w:lang w:val="en-GB"/>
        </w:rPr>
        <w:t>9</w:t>
      </w:r>
      <w:r w:rsidR="00313859">
        <w:rPr>
          <w:lang w:val="en-GB"/>
        </w:rPr>
        <w:t xml:space="preserve"> year </w:t>
      </w:r>
      <w:r w:rsidR="00D71853">
        <w:rPr>
          <w:lang w:val="en-GB"/>
        </w:rPr>
        <w:t xml:space="preserve">age range </w:t>
      </w:r>
      <w:r w:rsidR="00313859">
        <w:rPr>
          <w:lang w:val="en-GB"/>
        </w:rPr>
        <w:t>(</w:t>
      </w:r>
      <w:r w:rsidR="009815E5">
        <w:rPr>
          <w:lang w:val="en-GB"/>
        </w:rPr>
        <w:t>F</w:t>
      </w:r>
      <w:r w:rsidR="00313859">
        <w:rPr>
          <w:lang w:val="en-GB"/>
        </w:rPr>
        <w:t>igure 3). W</w:t>
      </w:r>
      <w:r w:rsidR="00D26D96">
        <w:rPr>
          <w:lang w:val="en-GB"/>
        </w:rPr>
        <w:t xml:space="preserve">ith increasing </w:t>
      </w:r>
      <w:r w:rsidR="002771A6">
        <w:rPr>
          <w:lang w:val="en-GB"/>
        </w:rPr>
        <w:t>age</w:t>
      </w:r>
      <w:r w:rsidR="00313859">
        <w:rPr>
          <w:lang w:val="en-GB"/>
        </w:rPr>
        <w:t>, women beca</w:t>
      </w:r>
      <w:r w:rsidR="00D26D96">
        <w:rPr>
          <w:lang w:val="en-GB"/>
        </w:rPr>
        <w:t>me</w:t>
      </w:r>
      <w:r w:rsidR="005B51F3">
        <w:rPr>
          <w:lang w:val="en-GB"/>
        </w:rPr>
        <w:t xml:space="preserve"> more injury prone. </w:t>
      </w:r>
      <w:r w:rsidR="00F8050D">
        <w:rPr>
          <w:lang w:val="en-GB"/>
        </w:rPr>
        <w:t>However, t</w:t>
      </w:r>
      <w:r w:rsidR="002771A6">
        <w:rPr>
          <w:lang w:val="en-GB"/>
        </w:rPr>
        <w:t>his gender reversal</w:t>
      </w:r>
      <w:r w:rsidR="00550F08">
        <w:rPr>
          <w:lang w:val="en-GB"/>
        </w:rPr>
        <w:t xml:space="preserve"> </w:t>
      </w:r>
      <w:r w:rsidR="006F15A6">
        <w:rPr>
          <w:lang w:val="en-GB"/>
        </w:rPr>
        <w:t xml:space="preserve">only </w:t>
      </w:r>
      <w:r w:rsidR="0063268A">
        <w:rPr>
          <w:lang w:val="en-GB"/>
        </w:rPr>
        <w:t>occurred</w:t>
      </w:r>
      <w:r w:rsidR="00550F08">
        <w:rPr>
          <w:lang w:val="en-GB"/>
        </w:rPr>
        <w:t xml:space="preserve"> </w:t>
      </w:r>
      <w:r w:rsidR="00D26D96">
        <w:rPr>
          <w:lang w:val="en-GB"/>
        </w:rPr>
        <w:t xml:space="preserve">for treatment in </w:t>
      </w:r>
      <w:r w:rsidR="000A48E4">
        <w:rPr>
          <w:lang w:val="en-GB"/>
        </w:rPr>
        <w:t>s</w:t>
      </w:r>
      <w:r w:rsidR="0069298A">
        <w:rPr>
          <w:lang w:val="en-GB"/>
        </w:rPr>
        <w:t>econdary</w:t>
      </w:r>
      <w:r w:rsidR="000A48E4">
        <w:rPr>
          <w:lang w:val="en-GB"/>
        </w:rPr>
        <w:t xml:space="preserve"> care</w:t>
      </w:r>
      <w:r w:rsidR="00D26D96">
        <w:rPr>
          <w:lang w:val="en-GB"/>
        </w:rPr>
        <w:t xml:space="preserve">. </w:t>
      </w:r>
    </w:p>
    <w:p w14:paraId="15496655" w14:textId="1BC852FD" w:rsidR="00CA72D2" w:rsidRDefault="00313859" w:rsidP="00CA72D2">
      <w:pPr>
        <w:jc w:val="center"/>
        <w:rPr>
          <w:lang w:val="en-GB"/>
        </w:rPr>
      </w:pPr>
      <w:r>
        <w:rPr>
          <w:lang w:val="en-GB"/>
        </w:rPr>
        <w:t>[</w:t>
      </w:r>
      <w:proofErr w:type="gramStart"/>
      <w:r>
        <w:rPr>
          <w:lang w:val="en-GB"/>
        </w:rPr>
        <w:t>insert</w:t>
      </w:r>
      <w:proofErr w:type="gramEnd"/>
      <w:r>
        <w:rPr>
          <w:lang w:val="en-GB"/>
        </w:rPr>
        <w:t xml:space="preserve"> Figure 3</w:t>
      </w:r>
      <w:r w:rsidR="00CA72D2">
        <w:rPr>
          <w:lang w:val="en-GB"/>
        </w:rPr>
        <w:t xml:space="preserve"> here]</w:t>
      </w:r>
    </w:p>
    <w:p w14:paraId="6BBFFD6C" w14:textId="77777777" w:rsidR="00CA72D2" w:rsidRDefault="00CA72D2" w:rsidP="002E3C7D">
      <w:pPr>
        <w:rPr>
          <w:lang w:val="en-GB"/>
        </w:rPr>
      </w:pPr>
    </w:p>
    <w:p w14:paraId="4AC90D6C" w14:textId="6AB536D8" w:rsidR="00725D0E" w:rsidRDefault="00F927F3" w:rsidP="00D92B80">
      <w:pPr>
        <w:pStyle w:val="Undertittel"/>
        <w:rPr>
          <w:lang w:val="en-GB"/>
        </w:rPr>
      </w:pPr>
      <w:r>
        <w:rPr>
          <w:rFonts w:eastAsiaTheme="majorEastAsia"/>
          <w:lang w:val="en-GB"/>
        </w:rPr>
        <w:t>Comparing</w:t>
      </w:r>
      <w:r w:rsidR="00696610">
        <w:rPr>
          <w:rFonts w:eastAsiaTheme="majorEastAsia"/>
          <w:lang w:val="en-GB"/>
        </w:rPr>
        <w:t xml:space="preserve"> i</w:t>
      </w:r>
      <w:r w:rsidR="00262B60">
        <w:rPr>
          <w:rFonts w:eastAsiaTheme="majorEastAsia"/>
          <w:lang w:val="en-GB"/>
        </w:rPr>
        <w:t>njury diagnoses</w:t>
      </w:r>
      <w:r w:rsidR="00981A0D">
        <w:rPr>
          <w:rFonts w:eastAsiaTheme="majorEastAsia"/>
          <w:lang w:val="en-GB"/>
        </w:rPr>
        <w:t xml:space="preserve"> in primary and s</w:t>
      </w:r>
      <w:r w:rsidR="0069298A">
        <w:rPr>
          <w:rFonts w:eastAsiaTheme="majorEastAsia"/>
          <w:lang w:val="en-GB"/>
        </w:rPr>
        <w:t>econdary</w:t>
      </w:r>
      <w:r w:rsidR="00981A0D">
        <w:rPr>
          <w:rFonts w:eastAsiaTheme="majorEastAsia"/>
          <w:lang w:val="en-GB"/>
        </w:rPr>
        <w:t xml:space="preserve"> care</w:t>
      </w:r>
    </w:p>
    <w:p w14:paraId="31838A80" w14:textId="7459B8BF" w:rsidR="00246682" w:rsidRDefault="009E267B" w:rsidP="002E3C7D">
      <w:pPr>
        <w:rPr>
          <w:lang w:val="en-GB"/>
        </w:rPr>
      </w:pPr>
      <w:r>
        <w:rPr>
          <w:lang w:val="en-GB"/>
        </w:rPr>
        <w:t xml:space="preserve">Table </w:t>
      </w:r>
      <w:proofErr w:type="gramStart"/>
      <w:r>
        <w:rPr>
          <w:lang w:val="en-GB"/>
        </w:rPr>
        <w:t>1</w:t>
      </w:r>
      <w:proofErr w:type="gramEnd"/>
      <w:r w:rsidR="00DE5563">
        <w:rPr>
          <w:lang w:val="en-GB"/>
        </w:rPr>
        <w:t xml:space="preserve"> shows the </w:t>
      </w:r>
      <w:r w:rsidR="00F8050D">
        <w:rPr>
          <w:lang w:val="en-GB"/>
        </w:rPr>
        <w:t>average annual</w:t>
      </w:r>
      <w:r w:rsidR="00B0579D">
        <w:rPr>
          <w:lang w:val="en-GB"/>
        </w:rPr>
        <w:t xml:space="preserve"> </w:t>
      </w:r>
      <w:r w:rsidR="00DE5563">
        <w:rPr>
          <w:lang w:val="en-GB"/>
        </w:rPr>
        <w:t>number</w:t>
      </w:r>
      <w:r w:rsidR="000E0DFD">
        <w:rPr>
          <w:lang w:val="en-GB"/>
        </w:rPr>
        <w:t xml:space="preserve"> of injuries</w:t>
      </w:r>
      <w:r w:rsidR="00A554CF">
        <w:rPr>
          <w:lang w:val="en-GB"/>
        </w:rPr>
        <w:t xml:space="preserve"> (as defined by unique ICPC-2 codes per individual)</w:t>
      </w:r>
      <w:r w:rsidR="000E0DFD">
        <w:rPr>
          <w:lang w:val="en-GB"/>
        </w:rPr>
        <w:t xml:space="preserve"> treated in pr</w:t>
      </w:r>
      <w:r w:rsidR="00A554CF">
        <w:rPr>
          <w:lang w:val="en-GB"/>
        </w:rPr>
        <w:t>imary care (actual codes) and s</w:t>
      </w:r>
      <w:r w:rsidR="0069298A">
        <w:rPr>
          <w:lang w:val="en-GB"/>
        </w:rPr>
        <w:t>econdary</w:t>
      </w:r>
      <w:r w:rsidR="00A554CF">
        <w:rPr>
          <w:lang w:val="en-GB"/>
        </w:rPr>
        <w:t xml:space="preserve"> care (converted codes)</w:t>
      </w:r>
      <w:r w:rsidR="000E0DFD">
        <w:rPr>
          <w:lang w:val="en-GB"/>
        </w:rPr>
        <w:t xml:space="preserve"> according to type of injury</w:t>
      </w:r>
      <w:r w:rsidR="00103A69">
        <w:rPr>
          <w:lang w:val="en-GB"/>
        </w:rPr>
        <w:t>, and their distribution between treatment levels</w:t>
      </w:r>
      <w:r w:rsidR="00581C98">
        <w:rPr>
          <w:lang w:val="en-GB"/>
        </w:rPr>
        <w:t xml:space="preserve">. </w:t>
      </w:r>
      <w:r w:rsidR="0011624A">
        <w:rPr>
          <w:lang w:val="en-GB"/>
        </w:rPr>
        <w:t xml:space="preserve">The most frequent injury category was </w:t>
      </w:r>
      <w:r w:rsidR="00800291">
        <w:rPr>
          <w:lang w:val="en-GB"/>
        </w:rPr>
        <w:t xml:space="preserve">other </w:t>
      </w:r>
      <w:r w:rsidR="0011624A">
        <w:rPr>
          <w:lang w:val="en-GB"/>
        </w:rPr>
        <w:t xml:space="preserve">superficial injuries (34.0 per cent), followed by sprains/strains/dislocations (25.7 per cent) and fractures (20.5 per cent). </w:t>
      </w:r>
      <w:r w:rsidR="00EA0B48">
        <w:rPr>
          <w:lang w:val="en-GB"/>
        </w:rPr>
        <w:t>Ove</w:t>
      </w:r>
      <w:r w:rsidR="00F94B1B">
        <w:rPr>
          <w:lang w:val="en-GB"/>
        </w:rPr>
        <w:t xml:space="preserve">rall, </w:t>
      </w:r>
      <w:r w:rsidR="001B76C1">
        <w:rPr>
          <w:lang w:val="en-GB"/>
        </w:rPr>
        <w:t>the</w:t>
      </w:r>
      <w:r w:rsidR="00F94B1B">
        <w:rPr>
          <w:lang w:val="en-GB"/>
        </w:rPr>
        <w:t xml:space="preserve"> majority of injuries</w:t>
      </w:r>
      <w:r w:rsidR="00EA0B48">
        <w:rPr>
          <w:lang w:val="en-GB"/>
        </w:rPr>
        <w:t xml:space="preserve"> </w:t>
      </w:r>
      <w:proofErr w:type="gramStart"/>
      <w:r w:rsidR="00EA0B48">
        <w:rPr>
          <w:lang w:val="en-GB"/>
        </w:rPr>
        <w:t>were registered</w:t>
      </w:r>
      <w:proofErr w:type="gramEnd"/>
      <w:r w:rsidR="00EA0B48">
        <w:rPr>
          <w:lang w:val="en-GB"/>
        </w:rPr>
        <w:t xml:space="preserve"> exclusively in primary care,</w:t>
      </w:r>
      <w:r w:rsidR="00313859">
        <w:rPr>
          <w:lang w:val="en-GB"/>
        </w:rPr>
        <w:t xml:space="preserve"> whereas one</w:t>
      </w:r>
      <w:r w:rsidR="005976B7">
        <w:rPr>
          <w:lang w:val="en-GB"/>
        </w:rPr>
        <w:t xml:space="preserve"> third </w:t>
      </w:r>
      <w:r w:rsidR="00313859">
        <w:rPr>
          <w:lang w:val="en-GB"/>
        </w:rPr>
        <w:t xml:space="preserve">of the injuries </w:t>
      </w:r>
      <w:r w:rsidR="005976B7">
        <w:rPr>
          <w:lang w:val="en-GB"/>
        </w:rPr>
        <w:t>were exclusively registered in s</w:t>
      </w:r>
      <w:r w:rsidR="0069298A">
        <w:rPr>
          <w:lang w:val="en-GB"/>
        </w:rPr>
        <w:t>econdary</w:t>
      </w:r>
      <w:r w:rsidR="005976B7">
        <w:rPr>
          <w:lang w:val="en-GB"/>
        </w:rPr>
        <w:t xml:space="preserve"> care. Less </w:t>
      </w:r>
      <w:r w:rsidR="00F94B1B">
        <w:rPr>
          <w:lang w:val="en-GB"/>
        </w:rPr>
        <w:t>than 10 per cent of injuries</w:t>
      </w:r>
      <w:r w:rsidR="005976B7">
        <w:rPr>
          <w:lang w:val="en-GB"/>
        </w:rPr>
        <w:t xml:space="preserve"> </w:t>
      </w:r>
      <w:proofErr w:type="gramStart"/>
      <w:r w:rsidR="005976B7">
        <w:rPr>
          <w:lang w:val="en-GB"/>
        </w:rPr>
        <w:t>were registered</w:t>
      </w:r>
      <w:proofErr w:type="gramEnd"/>
      <w:r w:rsidR="005976B7">
        <w:rPr>
          <w:lang w:val="en-GB"/>
        </w:rPr>
        <w:t xml:space="preserve"> in both primary and s</w:t>
      </w:r>
      <w:r w:rsidR="0069298A">
        <w:rPr>
          <w:lang w:val="en-GB"/>
        </w:rPr>
        <w:t>econdary</w:t>
      </w:r>
      <w:r w:rsidR="005976B7">
        <w:rPr>
          <w:lang w:val="en-GB"/>
        </w:rPr>
        <w:t xml:space="preserve"> care. However, </w:t>
      </w:r>
      <w:r w:rsidR="00EA0B48">
        <w:rPr>
          <w:lang w:val="en-GB"/>
        </w:rPr>
        <w:t>this distribution varied considerably b</w:t>
      </w:r>
      <w:r w:rsidR="001B76C1">
        <w:rPr>
          <w:lang w:val="en-GB"/>
        </w:rPr>
        <w:t>y</w:t>
      </w:r>
      <w:r w:rsidR="00EA0B48">
        <w:rPr>
          <w:lang w:val="en-GB"/>
        </w:rPr>
        <w:t xml:space="preserve"> injur</w:t>
      </w:r>
      <w:r w:rsidR="00F94B1B">
        <w:rPr>
          <w:lang w:val="en-GB"/>
        </w:rPr>
        <w:t>y type. The percentage</w:t>
      </w:r>
      <w:r w:rsidR="00EA0B48">
        <w:rPr>
          <w:lang w:val="en-GB"/>
        </w:rPr>
        <w:t xml:space="preserve"> exclusively registered in primary care was especially high for eye</w:t>
      </w:r>
      <w:r w:rsidR="00071496">
        <w:rPr>
          <w:lang w:val="en-GB"/>
        </w:rPr>
        <w:t xml:space="preserve"> and</w:t>
      </w:r>
      <w:r w:rsidR="00EA0B48">
        <w:rPr>
          <w:lang w:val="en-GB"/>
        </w:rPr>
        <w:t xml:space="preserve"> ear</w:t>
      </w:r>
      <w:r w:rsidR="00071496">
        <w:rPr>
          <w:lang w:val="en-GB"/>
        </w:rPr>
        <w:t xml:space="preserve"> injuries</w:t>
      </w:r>
      <w:r w:rsidR="00EA0B48">
        <w:rPr>
          <w:lang w:val="en-GB"/>
        </w:rPr>
        <w:t xml:space="preserve">. </w:t>
      </w:r>
      <w:r w:rsidR="00313859">
        <w:rPr>
          <w:lang w:val="en-GB"/>
        </w:rPr>
        <w:t>Fractures represented the</w:t>
      </w:r>
      <w:r w:rsidR="00071496">
        <w:rPr>
          <w:lang w:val="en-GB"/>
        </w:rPr>
        <w:t xml:space="preserve"> only </w:t>
      </w:r>
      <w:r w:rsidR="001B76C1">
        <w:rPr>
          <w:lang w:val="en-GB"/>
        </w:rPr>
        <w:t xml:space="preserve">injury </w:t>
      </w:r>
      <w:r w:rsidR="00071496">
        <w:rPr>
          <w:lang w:val="en-GB"/>
        </w:rPr>
        <w:t>category</w:t>
      </w:r>
      <w:r w:rsidR="00313859">
        <w:rPr>
          <w:lang w:val="en-GB"/>
        </w:rPr>
        <w:t xml:space="preserve"> </w:t>
      </w:r>
      <w:r w:rsidR="00EA0B48">
        <w:rPr>
          <w:lang w:val="en-GB"/>
        </w:rPr>
        <w:t>mo</w:t>
      </w:r>
      <w:r w:rsidR="00B64556">
        <w:rPr>
          <w:lang w:val="en-GB"/>
        </w:rPr>
        <w:t>st</w:t>
      </w:r>
      <w:r w:rsidR="00EA0B48">
        <w:rPr>
          <w:lang w:val="en-GB"/>
        </w:rPr>
        <w:t xml:space="preserve"> often treated </w:t>
      </w:r>
      <w:r w:rsidR="00071496">
        <w:rPr>
          <w:lang w:val="en-GB"/>
        </w:rPr>
        <w:t xml:space="preserve">exclusively </w:t>
      </w:r>
      <w:r w:rsidR="00EA0B48">
        <w:rPr>
          <w:lang w:val="en-GB"/>
        </w:rPr>
        <w:t>in s</w:t>
      </w:r>
      <w:r w:rsidR="00980A91">
        <w:rPr>
          <w:lang w:val="en-GB"/>
        </w:rPr>
        <w:t>econdary</w:t>
      </w:r>
      <w:r w:rsidR="00EA0B48">
        <w:rPr>
          <w:lang w:val="en-GB"/>
        </w:rPr>
        <w:t xml:space="preserve"> care.</w:t>
      </w:r>
      <w:r w:rsidR="00071496">
        <w:rPr>
          <w:lang w:val="en-GB"/>
        </w:rPr>
        <w:t xml:space="preserve"> A substantial proportion of injuries due to poisoning </w:t>
      </w:r>
      <w:proofErr w:type="gramStart"/>
      <w:r w:rsidR="00071496">
        <w:rPr>
          <w:lang w:val="en-GB"/>
        </w:rPr>
        <w:t>w</w:t>
      </w:r>
      <w:r w:rsidR="00B64556">
        <w:rPr>
          <w:lang w:val="en-GB"/>
        </w:rPr>
        <w:t>ere</w:t>
      </w:r>
      <w:r w:rsidR="00071496">
        <w:rPr>
          <w:lang w:val="en-GB"/>
        </w:rPr>
        <w:t xml:space="preserve"> also registered</w:t>
      </w:r>
      <w:proofErr w:type="gramEnd"/>
      <w:r w:rsidR="00071496">
        <w:rPr>
          <w:lang w:val="en-GB"/>
        </w:rPr>
        <w:t xml:space="preserve"> exclusively in s</w:t>
      </w:r>
      <w:r w:rsidR="00980A91">
        <w:rPr>
          <w:lang w:val="en-GB"/>
        </w:rPr>
        <w:t>econdary</w:t>
      </w:r>
      <w:r w:rsidR="00071496">
        <w:rPr>
          <w:lang w:val="en-GB"/>
        </w:rPr>
        <w:t xml:space="preserve"> care</w:t>
      </w:r>
      <w:r w:rsidR="00F94B1B">
        <w:rPr>
          <w:lang w:val="en-GB"/>
        </w:rPr>
        <w:t>. The percentage of injuries</w:t>
      </w:r>
      <w:r w:rsidR="00071496">
        <w:rPr>
          <w:lang w:val="en-GB"/>
        </w:rPr>
        <w:t xml:space="preserve"> treated in both primary and s</w:t>
      </w:r>
      <w:r w:rsidR="00980A91">
        <w:rPr>
          <w:lang w:val="en-GB"/>
        </w:rPr>
        <w:t>econdary</w:t>
      </w:r>
      <w:r w:rsidR="00071496">
        <w:rPr>
          <w:lang w:val="en-GB"/>
        </w:rPr>
        <w:t xml:space="preserve"> care was highest for fractures, follo</w:t>
      </w:r>
      <w:r w:rsidR="00F94B1B">
        <w:rPr>
          <w:lang w:val="en-GB"/>
        </w:rPr>
        <w:t>wed by poisoning and head injuries</w:t>
      </w:r>
      <w:r w:rsidR="00581C98">
        <w:rPr>
          <w:lang w:val="en-GB"/>
        </w:rPr>
        <w:t>. Other s</w:t>
      </w:r>
      <w:r w:rsidR="00071496">
        <w:rPr>
          <w:lang w:val="en-GB"/>
        </w:rPr>
        <w:t xml:space="preserve">uperficial injuries were least likely to </w:t>
      </w:r>
      <w:proofErr w:type="gramStart"/>
      <w:r w:rsidR="00071496">
        <w:rPr>
          <w:lang w:val="en-GB"/>
        </w:rPr>
        <w:t>be treated</w:t>
      </w:r>
      <w:proofErr w:type="gramEnd"/>
      <w:r w:rsidR="00071496">
        <w:rPr>
          <w:lang w:val="en-GB"/>
        </w:rPr>
        <w:t xml:space="preserve"> in both primary and s</w:t>
      </w:r>
      <w:r w:rsidR="00980A91">
        <w:rPr>
          <w:lang w:val="en-GB"/>
        </w:rPr>
        <w:t>econdary</w:t>
      </w:r>
      <w:r w:rsidR="00071496">
        <w:rPr>
          <w:lang w:val="en-GB"/>
        </w:rPr>
        <w:t xml:space="preserve"> care.</w:t>
      </w:r>
      <w:r w:rsidR="00EA0B48">
        <w:rPr>
          <w:lang w:val="en-GB"/>
        </w:rPr>
        <w:t xml:space="preserve"> </w:t>
      </w:r>
    </w:p>
    <w:p w14:paraId="3EB083BC" w14:textId="1D973E96" w:rsidR="009104DC" w:rsidRDefault="009104DC" w:rsidP="009104DC">
      <w:pPr>
        <w:jc w:val="center"/>
        <w:rPr>
          <w:lang w:val="en-GB"/>
        </w:rPr>
      </w:pPr>
      <w:r>
        <w:rPr>
          <w:lang w:val="en-GB"/>
        </w:rPr>
        <w:t>[</w:t>
      </w:r>
      <w:proofErr w:type="gramStart"/>
      <w:r>
        <w:rPr>
          <w:lang w:val="en-GB"/>
        </w:rPr>
        <w:t>insert</w:t>
      </w:r>
      <w:proofErr w:type="gramEnd"/>
      <w:r>
        <w:rPr>
          <w:lang w:val="en-GB"/>
        </w:rPr>
        <w:t xml:space="preserve"> Table 1 here]</w:t>
      </w:r>
    </w:p>
    <w:p w14:paraId="66E8F416" w14:textId="77777777" w:rsidR="009104DC" w:rsidRDefault="009104DC" w:rsidP="002E3C7D">
      <w:pPr>
        <w:rPr>
          <w:lang w:val="en-GB"/>
        </w:rPr>
      </w:pPr>
    </w:p>
    <w:p w14:paraId="27762719" w14:textId="6CDA09EC" w:rsidR="000C5E64" w:rsidRPr="0027655A" w:rsidRDefault="002E3C7D" w:rsidP="002E3C7D">
      <w:pPr>
        <w:rPr>
          <w:b/>
          <w:lang w:val="en-GB"/>
        </w:rPr>
      </w:pPr>
      <w:r w:rsidRPr="0027655A">
        <w:rPr>
          <w:b/>
          <w:lang w:val="en-GB"/>
        </w:rPr>
        <w:t>DISCUSSION</w:t>
      </w:r>
    </w:p>
    <w:p w14:paraId="049C5BDF" w14:textId="1D7CF7B1" w:rsidR="00F76AFE" w:rsidRDefault="00177BD2" w:rsidP="00F76AFE">
      <w:pPr>
        <w:rPr>
          <w:lang w:val="en-GB"/>
        </w:rPr>
      </w:pPr>
      <w:r>
        <w:rPr>
          <w:lang w:val="en-GB"/>
        </w:rPr>
        <w:t>To our knowledge, th</w:t>
      </w:r>
      <w:r w:rsidR="00421D65">
        <w:rPr>
          <w:lang w:val="en-GB"/>
        </w:rPr>
        <w:t>is</w:t>
      </w:r>
      <w:r>
        <w:rPr>
          <w:lang w:val="en-GB"/>
        </w:rPr>
        <w:t xml:space="preserve"> nationwide register study is the first to cover injuries treated in</w:t>
      </w:r>
      <w:r w:rsidR="001476AD">
        <w:rPr>
          <w:lang w:val="en-GB"/>
        </w:rPr>
        <w:t xml:space="preserve"> </w:t>
      </w:r>
      <w:r w:rsidR="00913EF4">
        <w:rPr>
          <w:lang w:val="en-GB"/>
        </w:rPr>
        <w:t>primary and s</w:t>
      </w:r>
      <w:r w:rsidR="00980A91">
        <w:rPr>
          <w:lang w:val="en-GB"/>
        </w:rPr>
        <w:t>econdary</w:t>
      </w:r>
      <w:r w:rsidR="00913EF4">
        <w:rPr>
          <w:lang w:val="en-GB"/>
        </w:rPr>
        <w:t xml:space="preserve"> care</w:t>
      </w:r>
      <w:r w:rsidR="001476AD">
        <w:rPr>
          <w:lang w:val="en-GB"/>
        </w:rPr>
        <w:t xml:space="preserve"> to measure the incidence of </w:t>
      </w:r>
      <w:r w:rsidR="008446B9">
        <w:rPr>
          <w:lang w:val="en-GB"/>
        </w:rPr>
        <w:t xml:space="preserve">medically treated </w:t>
      </w:r>
      <w:r w:rsidR="007B3BC1">
        <w:rPr>
          <w:lang w:val="en-GB"/>
        </w:rPr>
        <w:t>injuries</w:t>
      </w:r>
      <w:r w:rsidR="00FA6863">
        <w:rPr>
          <w:lang w:val="en-GB"/>
        </w:rPr>
        <w:t xml:space="preserve"> in Norway</w:t>
      </w:r>
      <w:r w:rsidR="001476AD">
        <w:rPr>
          <w:lang w:val="en-GB"/>
        </w:rPr>
        <w:t xml:space="preserve">. </w:t>
      </w:r>
      <w:r w:rsidR="00F80AE4">
        <w:rPr>
          <w:lang w:val="en-GB"/>
        </w:rPr>
        <w:t xml:space="preserve">The </w:t>
      </w:r>
      <w:r w:rsidR="00FA6863">
        <w:rPr>
          <w:lang w:val="en-GB"/>
        </w:rPr>
        <w:t>result</w:t>
      </w:r>
      <w:r w:rsidR="00F80AE4">
        <w:rPr>
          <w:lang w:val="en-GB"/>
        </w:rPr>
        <w:t xml:space="preserve">s from </w:t>
      </w:r>
      <w:r w:rsidR="00F80AE4">
        <w:rPr>
          <w:lang w:val="en-GB"/>
        </w:rPr>
        <w:lastRenderedPageBreak/>
        <w:t>this data linkage</w:t>
      </w:r>
      <w:r w:rsidR="003E0503">
        <w:rPr>
          <w:lang w:val="en-GB"/>
        </w:rPr>
        <w:t xml:space="preserve"> support the assertion</w:t>
      </w:r>
      <w:r w:rsidR="00AE7967">
        <w:rPr>
          <w:lang w:val="en-GB"/>
        </w:rPr>
        <w:t xml:space="preserve"> that injury is</w:t>
      </w:r>
      <w:r w:rsidR="008446B9">
        <w:rPr>
          <w:lang w:val="en-GB"/>
        </w:rPr>
        <w:t xml:space="preserve"> </w:t>
      </w:r>
      <w:r w:rsidR="00AE7967">
        <w:rPr>
          <w:lang w:val="en-GB"/>
        </w:rPr>
        <w:t xml:space="preserve">a major </w:t>
      </w:r>
      <w:r w:rsidR="008446B9">
        <w:rPr>
          <w:lang w:val="en-GB"/>
        </w:rPr>
        <w:t xml:space="preserve">public health challenge. On average, 12.5 per cent of </w:t>
      </w:r>
      <w:r w:rsidR="00F80AE4">
        <w:rPr>
          <w:lang w:val="en-GB"/>
        </w:rPr>
        <w:t>the</w:t>
      </w:r>
      <w:r w:rsidR="008446B9">
        <w:rPr>
          <w:lang w:val="en-GB"/>
        </w:rPr>
        <w:t xml:space="preserve"> Norwegian population </w:t>
      </w:r>
      <w:r w:rsidR="001421BF">
        <w:rPr>
          <w:lang w:val="en-GB"/>
        </w:rPr>
        <w:t>received</w:t>
      </w:r>
      <w:r w:rsidR="00E77772">
        <w:rPr>
          <w:lang w:val="en-GB"/>
        </w:rPr>
        <w:t xml:space="preserve"> treat</w:t>
      </w:r>
      <w:r w:rsidR="001421BF">
        <w:rPr>
          <w:lang w:val="en-GB"/>
        </w:rPr>
        <w:t>ment</w:t>
      </w:r>
      <w:r w:rsidR="00E77772">
        <w:rPr>
          <w:lang w:val="en-GB"/>
        </w:rPr>
        <w:t xml:space="preserve"> for injury</w:t>
      </w:r>
      <w:r w:rsidR="003E0503">
        <w:rPr>
          <w:lang w:val="en-GB"/>
        </w:rPr>
        <w:t xml:space="preserve"> </w:t>
      </w:r>
      <w:r w:rsidR="00421D65">
        <w:rPr>
          <w:lang w:val="en-GB"/>
        </w:rPr>
        <w:t>per</w:t>
      </w:r>
      <w:r w:rsidR="008446B9">
        <w:rPr>
          <w:lang w:val="en-GB"/>
        </w:rPr>
        <w:t xml:space="preserve"> year</w:t>
      </w:r>
      <w:r w:rsidR="00E77772">
        <w:rPr>
          <w:lang w:val="en-GB"/>
        </w:rPr>
        <w:t xml:space="preserve"> in the period 2009-2014</w:t>
      </w:r>
      <w:r w:rsidR="00581F09">
        <w:rPr>
          <w:lang w:val="en-GB"/>
        </w:rPr>
        <w:t>. W</w:t>
      </w:r>
      <w:r w:rsidR="008446B9">
        <w:rPr>
          <w:lang w:val="en-GB"/>
        </w:rPr>
        <w:t xml:space="preserve">e </w:t>
      </w:r>
      <w:r w:rsidR="00581F09">
        <w:rPr>
          <w:lang w:val="en-GB"/>
        </w:rPr>
        <w:t xml:space="preserve">also </w:t>
      </w:r>
      <w:r w:rsidR="008446B9">
        <w:rPr>
          <w:lang w:val="en-GB"/>
        </w:rPr>
        <w:t>show</w:t>
      </w:r>
      <w:r w:rsidR="00AE7967">
        <w:rPr>
          <w:lang w:val="en-GB"/>
        </w:rPr>
        <w:t>ed</w:t>
      </w:r>
      <w:r w:rsidR="008446B9">
        <w:rPr>
          <w:lang w:val="en-GB"/>
        </w:rPr>
        <w:t xml:space="preserve"> that</w:t>
      </w:r>
      <w:r w:rsidR="00F80AE4">
        <w:rPr>
          <w:lang w:val="en-GB"/>
        </w:rPr>
        <w:t xml:space="preserve"> </w:t>
      </w:r>
      <w:r w:rsidR="00E77772">
        <w:rPr>
          <w:lang w:val="en-GB"/>
        </w:rPr>
        <w:t xml:space="preserve">a substantial </w:t>
      </w:r>
      <w:r w:rsidR="00421D65">
        <w:rPr>
          <w:lang w:val="en-GB"/>
        </w:rPr>
        <w:t>pro</w:t>
      </w:r>
      <w:r w:rsidR="00E77772">
        <w:rPr>
          <w:lang w:val="en-GB"/>
        </w:rPr>
        <w:t xml:space="preserve">portion </w:t>
      </w:r>
      <w:r w:rsidR="00FA6863">
        <w:rPr>
          <w:lang w:val="en-GB"/>
        </w:rPr>
        <w:t xml:space="preserve">of these injuries </w:t>
      </w:r>
      <w:proofErr w:type="gramStart"/>
      <w:r w:rsidR="00FA6863">
        <w:rPr>
          <w:lang w:val="en-GB"/>
        </w:rPr>
        <w:t>w</w:t>
      </w:r>
      <w:r w:rsidR="00421D65">
        <w:rPr>
          <w:lang w:val="en-GB"/>
        </w:rPr>
        <w:t>ere</w:t>
      </w:r>
      <w:r w:rsidR="001476AD">
        <w:rPr>
          <w:lang w:val="en-GB"/>
        </w:rPr>
        <w:t xml:space="preserve"> </w:t>
      </w:r>
      <w:r w:rsidR="00DC48BC">
        <w:rPr>
          <w:lang w:val="en-GB"/>
        </w:rPr>
        <w:t>treated</w:t>
      </w:r>
      <w:proofErr w:type="gramEnd"/>
      <w:r w:rsidR="00DC48BC">
        <w:rPr>
          <w:lang w:val="en-GB"/>
        </w:rPr>
        <w:t xml:space="preserve"> in primary care. Annually, over half of the injured po</w:t>
      </w:r>
      <w:r w:rsidR="00A554CF">
        <w:rPr>
          <w:lang w:val="en-GB"/>
        </w:rPr>
        <w:t xml:space="preserve">pulation </w:t>
      </w:r>
      <w:r w:rsidR="001421BF">
        <w:rPr>
          <w:lang w:val="en-GB"/>
        </w:rPr>
        <w:t>received treatment</w:t>
      </w:r>
      <w:r w:rsidR="00DC48BC">
        <w:rPr>
          <w:lang w:val="en-GB"/>
        </w:rPr>
        <w:t xml:space="preserve"> exclusively in primary care. </w:t>
      </w:r>
      <w:r w:rsidR="003C0180">
        <w:rPr>
          <w:lang w:val="en-GB"/>
        </w:rPr>
        <w:t>M</w:t>
      </w:r>
      <w:r w:rsidR="00FA6863">
        <w:rPr>
          <w:lang w:val="en-GB"/>
        </w:rPr>
        <w:t xml:space="preserve">ost </w:t>
      </w:r>
      <w:r w:rsidR="00DC48BC">
        <w:rPr>
          <w:lang w:val="en-GB"/>
        </w:rPr>
        <w:t>studies of injury incidence</w:t>
      </w:r>
      <w:r w:rsidR="003C0180">
        <w:rPr>
          <w:lang w:val="en-GB"/>
        </w:rPr>
        <w:t xml:space="preserve"> exclude this group of patients</w:t>
      </w:r>
      <w:r w:rsidR="00DC48BC">
        <w:rPr>
          <w:lang w:val="en-GB"/>
        </w:rPr>
        <w:t xml:space="preserve">, </w:t>
      </w:r>
      <w:r w:rsidR="00FA6863">
        <w:rPr>
          <w:lang w:val="en-GB"/>
        </w:rPr>
        <w:t xml:space="preserve">leading to </w:t>
      </w:r>
      <w:r w:rsidR="003C0180">
        <w:rPr>
          <w:lang w:val="en-GB"/>
        </w:rPr>
        <w:t xml:space="preserve">a </w:t>
      </w:r>
      <w:r w:rsidR="00FA6863">
        <w:rPr>
          <w:lang w:val="en-GB"/>
        </w:rPr>
        <w:t xml:space="preserve">substantial </w:t>
      </w:r>
      <w:r w:rsidR="00DC48BC">
        <w:rPr>
          <w:lang w:val="en-GB"/>
        </w:rPr>
        <w:t>unde</w:t>
      </w:r>
      <w:r w:rsidR="00FA6863">
        <w:rPr>
          <w:lang w:val="en-GB"/>
        </w:rPr>
        <w:t>restimat</w:t>
      </w:r>
      <w:r w:rsidR="003C0180">
        <w:rPr>
          <w:lang w:val="en-GB"/>
        </w:rPr>
        <w:t>e</w:t>
      </w:r>
      <w:r w:rsidR="00FA6863">
        <w:rPr>
          <w:lang w:val="en-GB"/>
        </w:rPr>
        <w:t xml:space="preserve"> of the total</w:t>
      </w:r>
      <w:r w:rsidR="006E4C1B">
        <w:rPr>
          <w:lang w:val="en-GB"/>
        </w:rPr>
        <w:t xml:space="preserve"> burden</w:t>
      </w:r>
      <w:r w:rsidR="00DC48BC">
        <w:rPr>
          <w:lang w:val="en-GB"/>
        </w:rPr>
        <w:t xml:space="preserve"> of injury</w:t>
      </w:r>
      <w:r w:rsidR="00896E96">
        <w:rPr>
          <w:lang w:val="en-GB"/>
        </w:rPr>
        <w:t xml:space="preserve"> [13-16]</w:t>
      </w:r>
      <w:r w:rsidR="00DC48BC">
        <w:rPr>
          <w:lang w:val="en-GB"/>
        </w:rPr>
        <w:t xml:space="preserve">. </w:t>
      </w:r>
      <w:r w:rsidR="004F67CE">
        <w:rPr>
          <w:lang w:val="en-GB"/>
        </w:rPr>
        <w:t>Including injuries treated in primary care has the added benefit of minim</w:t>
      </w:r>
      <w:r w:rsidR="00FA6863">
        <w:rPr>
          <w:lang w:val="en-GB"/>
        </w:rPr>
        <w:t xml:space="preserve">ising the effect of some </w:t>
      </w:r>
      <w:r w:rsidR="004F67CE">
        <w:rPr>
          <w:lang w:val="en-GB"/>
        </w:rPr>
        <w:t>ext</w:t>
      </w:r>
      <w:r w:rsidR="003C0180">
        <w:rPr>
          <w:lang w:val="en-GB"/>
        </w:rPr>
        <w:t>ernal</w:t>
      </w:r>
      <w:r w:rsidR="004F67CE">
        <w:rPr>
          <w:lang w:val="en-GB"/>
        </w:rPr>
        <w:t xml:space="preserve"> factors that complicate analyses of injury incidence, including distance to nearest hospital, capacity and organisation of health services and local referral practices </w:t>
      </w:r>
      <w:r w:rsidR="00896E96">
        <w:rPr>
          <w:lang w:val="en-GB"/>
        </w:rPr>
        <w:t>[9, 14, 19-20]</w:t>
      </w:r>
      <w:r w:rsidR="004F67CE">
        <w:rPr>
          <w:lang w:val="en-GB"/>
        </w:rPr>
        <w:t xml:space="preserve">. </w:t>
      </w:r>
    </w:p>
    <w:p w14:paraId="71FE19F3" w14:textId="3F3AB019" w:rsidR="006D1E71" w:rsidRDefault="00FB6F51" w:rsidP="006D1E71">
      <w:pPr>
        <w:rPr>
          <w:lang w:val="en-GB"/>
        </w:rPr>
      </w:pPr>
      <w:r>
        <w:rPr>
          <w:lang w:val="en-GB"/>
        </w:rPr>
        <w:t xml:space="preserve">Our results </w:t>
      </w:r>
      <w:r w:rsidR="003C0180">
        <w:rPr>
          <w:lang w:val="en-GB"/>
        </w:rPr>
        <w:t>also</w:t>
      </w:r>
      <w:r w:rsidR="00B03ED5">
        <w:rPr>
          <w:lang w:val="en-GB"/>
        </w:rPr>
        <w:t xml:space="preserve"> </w:t>
      </w:r>
      <w:r w:rsidR="005A3F67">
        <w:rPr>
          <w:lang w:val="en-GB"/>
        </w:rPr>
        <w:t>reveal</w:t>
      </w:r>
      <w:r w:rsidR="009B2543">
        <w:rPr>
          <w:lang w:val="en-GB"/>
        </w:rPr>
        <w:t>ed</w:t>
      </w:r>
      <w:r w:rsidR="003E0503">
        <w:rPr>
          <w:lang w:val="en-GB"/>
        </w:rPr>
        <w:t xml:space="preserve"> that the</w:t>
      </w:r>
      <w:r w:rsidR="009B2543">
        <w:rPr>
          <w:lang w:val="en-GB"/>
        </w:rPr>
        <w:t xml:space="preserve"> demographic profile for </w:t>
      </w:r>
      <w:r w:rsidR="00581F09">
        <w:rPr>
          <w:lang w:val="en-GB"/>
        </w:rPr>
        <w:t xml:space="preserve">injured </w:t>
      </w:r>
      <w:r w:rsidR="005A3F67">
        <w:rPr>
          <w:lang w:val="en-GB"/>
        </w:rPr>
        <w:t>p</w:t>
      </w:r>
      <w:r w:rsidR="003E0503">
        <w:rPr>
          <w:lang w:val="en-GB"/>
        </w:rPr>
        <w:t>atients differed between treatment levels</w:t>
      </w:r>
      <w:r w:rsidR="00F76AFE">
        <w:rPr>
          <w:lang w:val="en-GB"/>
        </w:rPr>
        <w:t xml:space="preserve">. </w:t>
      </w:r>
      <w:r w:rsidR="006E4C1B">
        <w:rPr>
          <w:lang w:val="en-GB"/>
        </w:rPr>
        <w:t>Compared to injuries treated in s</w:t>
      </w:r>
      <w:r w:rsidR="00980A91">
        <w:rPr>
          <w:lang w:val="en-GB"/>
        </w:rPr>
        <w:t>econdary</w:t>
      </w:r>
      <w:r w:rsidR="006E4C1B">
        <w:rPr>
          <w:lang w:val="en-GB"/>
        </w:rPr>
        <w:t xml:space="preserve"> care, i</w:t>
      </w:r>
      <w:r w:rsidR="00F76AFE">
        <w:rPr>
          <w:lang w:val="en-GB"/>
        </w:rPr>
        <w:t>ncidence rates were</w:t>
      </w:r>
      <w:r w:rsidR="005A3F67">
        <w:rPr>
          <w:lang w:val="en-GB"/>
        </w:rPr>
        <w:t xml:space="preserve"> higher</w:t>
      </w:r>
      <w:r w:rsidR="006E4C1B">
        <w:rPr>
          <w:lang w:val="en-GB"/>
        </w:rPr>
        <w:t xml:space="preserve"> in primary care</w:t>
      </w:r>
      <w:r w:rsidR="005A3F67">
        <w:rPr>
          <w:lang w:val="en-GB"/>
        </w:rPr>
        <w:t xml:space="preserve"> for the youngest children and in middle adulthood,</w:t>
      </w:r>
      <w:r>
        <w:rPr>
          <w:lang w:val="en-GB"/>
        </w:rPr>
        <w:t xml:space="preserve"> but lower for older people</w:t>
      </w:r>
      <w:r w:rsidR="005A3F67">
        <w:rPr>
          <w:lang w:val="en-GB"/>
        </w:rPr>
        <w:t>.</w:t>
      </w:r>
      <w:r w:rsidR="00530C76">
        <w:rPr>
          <w:lang w:val="en-GB"/>
        </w:rPr>
        <w:t xml:space="preserve"> A possible explanation for the high rates of p</w:t>
      </w:r>
      <w:r w:rsidR="0018512E">
        <w:rPr>
          <w:lang w:val="en-GB"/>
        </w:rPr>
        <w:t>a</w:t>
      </w:r>
      <w:r w:rsidR="00530C76">
        <w:rPr>
          <w:lang w:val="en-GB"/>
        </w:rPr>
        <w:t>ediatric injuries in primary care co</w:t>
      </w:r>
      <w:r w:rsidR="00F76AFE">
        <w:rPr>
          <w:lang w:val="en-GB"/>
        </w:rPr>
        <w:t xml:space="preserve">uld be that these injuries </w:t>
      </w:r>
      <w:r w:rsidR="003C0180">
        <w:rPr>
          <w:lang w:val="en-GB"/>
        </w:rPr>
        <w:t xml:space="preserve">are </w:t>
      </w:r>
      <w:r w:rsidR="00F76AFE">
        <w:rPr>
          <w:lang w:val="en-GB"/>
        </w:rPr>
        <w:t>usually minor and</w:t>
      </w:r>
      <w:r w:rsidR="006E4C1B">
        <w:rPr>
          <w:lang w:val="en-GB"/>
        </w:rPr>
        <w:t xml:space="preserve"> </w:t>
      </w:r>
      <w:r w:rsidR="003C0180">
        <w:rPr>
          <w:lang w:val="en-GB"/>
        </w:rPr>
        <w:t>do not</w:t>
      </w:r>
      <w:r w:rsidR="00B93364">
        <w:rPr>
          <w:lang w:val="en-GB"/>
        </w:rPr>
        <w:t xml:space="preserve"> require specialist treatment, combi</w:t>
      </w:r>
      <w:r w:rsidR="006251BF">
        <w:rPr>
          <w:lang w:val="en-GB"/>
        </w:rPr>
        <w:t>ned with a lower threshold</w:t>
      </w:r>
      <w:r w:rsidR="00B93364">
        <w:rPr>
          <w:lang w:val="en-GB"/>
        </w:rPr>
        <w:t xml:space="preserve"> on the part of parents and </w:t>
      </w:r>
      <w:r w:rsidR="003B07DC">
        <w:rPr>
          <w:lang w:val="en-GB"/>
        </w:rPr>
        <w:t xml:space="preserve">staff of </w:t>
      </w:r>
      <w:r w:rsidR="003C0180">
        <w:rPr>
          <w:lang w:val="en-GB"/>
        </w:rPr>
        <w:t>childcare centres</w:t>
      </w:r>
      <w:r w:rsidR="003B07DC">
        <w:rPr>
          <w:lang w:val="en-GB"/>
        </w:rPr>
        <w:t xml:space="preserve"> and </w:t>
      </w:r>
      <w:r w:rsidR="00B93364">
        <w:rPr>
          <w:lang w:val="en-GB"/>
        </w:rPr>
        <w:t>schools to seek medical treatment</w:t>
      </w:r>
      <w:r w:rsidR="00F7322C">
        <w:rPr>
          <w:lang w:val="en-GB"/>
        </w:rPr>
        <w:t xml:space="preserve"> for this vulnerable group</w:t>
      </w:r>
      <w:r w:rsidR="00B93364">
        <w:rPr>
          <w:lang w:val="en-GB"/>
        </w:rPr>
        <w:t xml:space="preserve">. In contrast, the high injury rates for </w:t>
      </w:r>
      <w:r>
        <w:rPr>
          <w:lang w:val="en-GB"/>
        </w:rPr>
        <w:t>older people</w:t>
      </w:r>
      <w:r w:rsidR="00B03ED5">
        <w:rPr>
          <w:lang w:val="en-GB"/>
        </w:rPr>
        <w:t xml:space="preserve"> in s</w:t>
      </w:r>
      <w:r w:rsidR="00980A91">
        <w:rPr>
          <w:lang w:val="en-GB"/>
        </w:rPr>
        <w:t>econdary</w:t>
      </w:r>
      <w:r w:rsidR="00B03ED5">
        <w:rPr>
          <w:lang w:val="en-GB"/>
        </w:rPr>
        <w:t xml:space="preserve"> care likely</w:t>
      </w:r>
      <w:r w:rsidR="00B93364">
        <w:rPr>
          <w:lang w:val="en-GB"/>
        </w:rPr>
        <w:t xml:space="preserve"> refl</w:t>
      </w:r>
      <w:r w:rsidR="00BF2A51">
        <w:rPr>
          <w:lang w:val="en-GB"/>
        </w:rPr>
        <w:t xml:space="preserve">ect a higher degree of severity </w:t>
      </w:r>
      <w:r w:rsidR="00B93364">
        <w:rPr>
          <w:lang w:val="en-GB"/>
        </w:rPr>
        <w:t>but also more co-morbidity, high</w:t>
      </w:r>
      <w:r w:rsidR="00B761E7">
        <w:rPr>
          <w:lang w:val="en-GB"/>
        </w:rPr>
        <w:t xml:space="preserve">lighting </w:t>
      </w:r>
      <w:r w:rsidR="00F7322C">
        <w:rPr>
          <w:lang w:val="en-GB"/>
        </w:rPr>
        <w:t xml:space="preserve">a greater </w:t>
      </w:r>
      <w:r w:rsidR="00B761E7">
        <w:rPr>
          <w:lang w:val="en-GB"/>
        </w:rPr>
        <w:t>need for specialised</w:t>
      </w:r>
      <w:r w:rsidR="006251BF">
        <w:rPr>
          <w:lang w:val="en-GB"/>
        </w:rPr>
        <w:t xml:space="preserve"> treatment. </w:t>
      </w:r>
      <w:r w:rsidR="00E03559">
        <w:rPr>
          <w:lang w:val="en-GB"/>
        </w:rPr>
        <w:t>Another interesting finding was that</w:t>
      </w:r>
      <w:r w:rsidR="00656265">
        <w:rPr>
          <w:lang w:val="en-GB"/>
        </w:rPr>
        <w:t xml:space="preserve"> while</w:t>
      </w:r>
      <w:r w:rsidR="00530C76">
        <w:rPr>
          <w:lang w:val="en-GB"/>
        </w:rPr>
        <w:t xml:space="preserve"> </w:t>
      </w:r>
      <w:r w:rsidR="000E0DFD">
        <w:rPr>
          <w:lang w:val="en-GB"/>
        </w:rPr>
        <w:t>injury incidence remained</w:t>
      </w:r>
      <w:r w:rsidR="0018512E">
        <w:rPr>
          <w:lang w:val="en-GB"/>
        </w:rPr>
        <w:t xml:space="preserve"> higher for men in all age groups f</w:t>
      </w:r>
      <w:r w:rsidR="0018512E">
        <w:rPr>
          <w:noProof/>
          <w:lang w:val="en-GB" w:eastAsia="nb-NO"/>
        </w:rPr>
        <w:t>or patients exclusively treated in primary care,</w:t>
      </w:r>
      <w:r w:rsidR="0018512E">
        <w:rPr>
          <w:lang w:val="en-GB"/>
        </w:rPr>
        <w:t xml:space="preserve"> </w:t>
      </w:r>
      <w:r w:rsidR="00656265">
        <w:rPr>
          <w:lang w:val="en-GB"/>
        </w:rPr>
        <w:t>incidence rates</w:t>
      </w:r>
      <w:r w:rsidR="0018512E">
        <w:rPr>
          <w:lang w:val="en-GB"/>
        </w:rPr>
        <w:t xml:space="preserve"> were higher</w:t>
      </w:r>
      <w:r w:rsidR="00A554CF">
        <w:rPr>
          <w:lang w:val="en-GB"/>
        </w:rPr>
        <w:t xml:space="preserve"> for older</w:t>
      </w:r>
      <w:r w:rsidR="0068053C">
        <w:rPr>
          <w:lang w:val="en-GB"/>
        </w:rPr>
        <w:t xml:space="preserve"> women</w:t>
      </w:r>
      <w:r w:rsidR="003A4519">
        <w:rPr>
          <w:lang w:val="en-GB"/>
        </w:rPr>
        <w:t xml:space="preserve"> in s</w:t>
      </w:r>
      <w:r w:rsidR="00980A91">
        <w:rPr>
          <w:lang w:val="en-GB"/>
        </w:rPr>
        <w:t>econdary</w:t>
      </w:r>
      <w:r w:rsidR="003A4519">
        <w:rPr>
          <w:lang w:val="en-GB"/>
        </w:rPr>
        <w:t xml:space="preserve"> care</w:t>
      </w:r>
      <w:r w:rsidR="0018512E">
        <w:rPr>
          <w:lang w:val="en-GB"/>
        </w:rPr>
        <w:t>.</w:t>
      </w:r>
      <w:r w:rsidR="00F7322C">
        <w:rPr>
          <w:noProof/>
          <w:lang w:val="en-GB" w:eastAsia="nb-NO"/>
        </w:rPr>
        <w:t xml:space="preserve"> </w:t>
      </w:r>
      <w:r w:rsidR="0018512E">
        <w:rPr>
          <w:noProof/>
          <w:lang w:val="en-GB" w:eastAsia="nb-NO"/>
        </w:rPr>
        <w:t>T</w:t>
      </w:r>
      <w:r w:rsidR="00E03559">
        <w:rPr>
          <w:noProof/>
          <w:lang w:val="en-GB" w:eastAsia="nb-NO"/>
        </w:rPr>
        <w:t>his gender reversal</w:t>
      </w:r>
      <w:r w:rsidR="0018512E">
        <w:rPr>
          <w:noProof/>
          <w:lang w:val="en-GB" w:eastAsia="nb-NO"/>
        </w:rPr>
        <w:t xml:space="preserve"> in s</w:t>
      </w:r>
      <w:r w:rsidR="00980A91">
        <w:rPr>
          <w:noProof/>
          <w:lang w:val="en-GB" w:eastAsia="nb-NO"/>
        </w:rPr>
        <w:t>econdary</w:t>
      </w:r>
      <w:r w:rsidR="0018512E">
        <w:rPr>
          <w:noProof/>
          <w:lang w:val="en-GB" w:eastAsia="nb-NO"/>
        </w:rPr>
        <w:t xml:space="preserve"> care </w:t>
      </w:r>
      <w:r w:rsidR="005B4FC5">
        <w:rPr>
          <w:noProof/>
          <w:lang w:val="en-GB" w:eastAsia="nb-NO"/>
        </w:rPr>
        <w:t>can</w:t>
      </w:r>
      <w:r w:rsidR="003A4519">
        <w:rPr>
          <w:noProof/>
          <w:lang w:val="en-GB" w:eastAsia="nb-NO"/>
        </w:rPr>
        <w:t xml:space="preserve"> partly </w:t>
      </w:r>
      <w:r w:rsidR="005B4FC5">
        <w:rPr>
          <w:noProof/>
          <w:lang w:val="en-GB" w:eastAsia="nb-NO"/>
        </w:rPr>
        <w:t xml:space="preserve">be attributed to </w:t>
      </w:r>
      <w:r w:rsidR="003A4519">
        <w:rPr>
          <w:noProof/>
          <w:lang w:val="en-GB" w:eastAsia="nb-NO"/>
        </w:rPr>
        <w:t xml:space="preserve">treatment of </w:t>
      </w:r>
      <w:r w:rsidR="00C52A2C">
        <w:rPr>
          <w:noProof/>
          <w:lang w:val="en-GB" w:eastAsia="nb-NO"/>
        </w:rPr>
        <w:t>hip f</w:t>
      </w:r>
      <w:r w:rsidR="0018512E">
        <w:rPr>
          <w:noProof/>
          <w:lang w:val="en-GB" w:eastAsia="nb-NO"/>
        </w:rPr>
        <w:t>ractures, where incidence rates increase sharply after 70 years</w:t>
      </w:r>
      <w:r w:rsidR="005B2D2C">
        <w:rPr>
          <w:noProof/>
          <w:lang w:val="en-GB" w:eastAsia="nb-NO"/>
        </w:rPr>
        <w:t xml:space="preserve"> of age</w:t>
      </w:r>
      <w:r w:rsidR="0018512E">
        <w:rPr>
          <w:noProof/>
          <w:lang w:val="en-GB" w:eastAsia="nb-NO"/>
        </w:rPr>
        <w:t>, but more so for women</w:t>
      </w:r>
      <w:r w:rsidR="00C52A2C">
        <w:rPr>
          <w:noProof/>
          <w:lang w:val="en-GB" w:eastAsia="nb-NO"/>
        </w:rPr>
        <w:t xml:space="preserve"> </w:t>
      </w:r>
      <w:r w:rsidR="00B96767">
        <w:rPr>
          <w:noProof/>
          <w:lang w:val="en-GB" w:eastAsia="nb-NO"/>
        </w:rPr>
        <w:t>[21-22]</w:t>
      </w:r>
      <w:r w:rsidR="00C52A2C">
        <w:rPr>
          <w:noProof/>
          <w:lang w:val="en-GB" w:eastAsia="nb-NO"/>
        </w:rPr>
        <w:t>.</w:t>
      </w:r>
      <w:r w:rsidR="0018512E">
        <w:rPr>
          <w:noProof/>
          <w:lang w:val="en-GB" w:eastAsia="nb-NO"/>
        </w:rPr>
        <w:t xml:space="preserve"> </w:t>
      </w:r>
      <w:r w:rsidR="000E0DFD">
        <w:rPr>
          <w:lang w:val="en-GB"/>
        </w:rPr>
        <w:t xml:space="preserve">Finally, </w:t>
      </w:r>
      <w:r w:rsidR="00E03559">
        <w:rPr>
          <w:lang w:val="en-GB"/>
        </w:rPr>
        <w:t xml:space="preserve">injury incidence for the group exclusively treated in primary care showed no peak for adolescents and young adults, </w:t>
      </w:r>
      <w:r>
        <w:rPr>
          <w:lang w:val="en-GB"/>
        </w:rPr>
        <w:t>a pattern consistently found in</w:t>
      </w:r>
      <w:r w:rsidR="000E0DFD">
        <w:rPr>
          <w:lang w:val="en-GB"/>
        </w:rPr>
        <w:t xml:space="preserve"> </w:t>
      </w:r>
      <w:r>
        <w:rPr>
          <w:lang w:val="en-GB"/>
        </w:rPr>
        <w:t>s</w:t>
      </w:r>
      <w:r w:rsidR="00980A91">
        <w:rPr>
          <w:lang w:val="en-GB"/>
        </w:rPr>
        <w:t>econdary</w:t>
      </w:r>
      <w:r>
        <w:rPr>
          <w:lang w:val="en-GB"/>
        </w:rPr>
        <w:t xml:space="preserve"> care</w:t>
      </w:r>
      <w:r w:rsidR="00E03559">
        <w:rPr>
          <w:lang w:val="en-GB"/>
        </w:rPr>
        <w:t xml:space="preserve"> </w:t>
      </w:r>
      <w:r w:rsidR="00E9669E">
        <w:rPr>
          <w:lang w:val="en-GB"/>
        </w:rPr>
        <w:t>[23]</w:t>
      </w:r>
      <w:r w:rsidR="00E03559">
        <w:rPr>
          <w:lang w:val="en-GB"/>
        </w:rPr>
        <w:t xml:space="preserve">. </w:t>
      </w:r>
      <w:r w:rsidR="000E0DFD">
        <w:rPr>
          <w:lang w:val="en-GB"/>
        </w:rPr>
        <w:t xml:space="preserve">Overall, </w:t>
      </w:r>
      <w:r w:rsidR="000E0DFD">
        <w:rPr>
          <w:noProof/>
          <w:lang w:val="en-GB" w:eastAsia="nb-NO"/>
        </w:rPr>
        <w:t>t</w:t>
      </w:r>
      <w:r w:rsidR="00F7322C">
        <w:rPr>
          <w:noProof/>
          <w:lang w:val="en-GB" w:eastAsia="nb-NO"/>
        </w:rPr>
        <w:t xml:space="preserve">hese </w:t>
      </w:r>
      <w:r w:rsidR="0068053C">
        <w:rPr>
          <w:noProof/>
          <w:lang w:val="en-GB" w:eastAsia="nb-NO"/>
        </w:rPr>
        <w:t>findings suggest that studies that restrict</w:t>
      </w:r>
      <w:r w:rsidR="00F7322C">
        <w:rPr>
          <w:noProof/>
          <w:lang w:val="en-GB" w:eastAsia="nb-NO"/>
        </w:rPr>
        <w:t xml:space="preserve"> inj</w:t>
      </w:r>
      <w:r w:rsidR="008A7CF8">
        <w:rPr>
          <w:noProof/>
          <w:lang w:val="en-GB" w:eastAsia="nb-NO"/>
        </w:rPr>
        <w:t>ury incidence</w:t>
      </w:r>
      <w:r w:rsidR="0068053C">
        <w:rPr>
          <w:noProof/>
          <w:lang w:val="en-GB" w:eastAsia="nb-NO"/>
        </w:rPr>
        <w:t xml:space="preserve"> to </w:t>
      </w:r>
      <w:r w:rsidR="00F7322C">
        <w:rPr>
          <w:noProof/>
          <w:lang w:val="en-GB" w:eastAsia="nb-NO"/>
        </w:rPr>
        <w:t>trea</w:t>
      </w:r>
      <w:r w:rsidR="00A46CBB">
        <w:rPr>
          <w:noProof/>
          <w:lang w:val="en-GB" w:eastAsia="nb-NO"/>
        </w:rPr>
        <w:t>tment in s</w:t>
      </w:r>
      <w:r w:rsidR="00980A91">
        <w:rPr>
          <w:noProof/>
          <w:lang w:val="en-GB" w:eastAsia="nb-NO"/>
        </w:rPr>
        <w:t>econdary</w:t>
      </w:r>
      <w:r w:rsidR="006E4C1B">
        <w:rPr>
          <w:noProof/>
          <w:lang w:val="en-GB" w:eastAsia="nb-NO"/>
        </w:rPr>
        <w:t xml:space="preserve"> care </w:t>
      </w:r>
      <w:r w:rsidR="003E0503">
        <w:rPr>
          <w:noProof/>
          <w:lang w:val="en-GB" w:eastAsia="nb-NO"/>
        </w:rPr>
        <w:t xml:space="preserve">can </w:t>
      </w:r>
      <w:r w:rsidR="006E4C1B">
        <w:rPr>
          <w:noProof/>
          <w:lang w:val="en-GB" w:eastAsia="nb-NO"/>
        </w:rPr>
        <w:t>give</w:t>
      </w:r>
      <w:r w:rsidR="00B03ED5">
        <w:rPr>
          <w:noProof/>
          <w:lang w:val="en-GB" w:eastAsia="nb-NO"/>
        </w:rPr>
        <w:t xml:space="preserve"> an incomplete</w:t>
      </w:r>
      <w:r w:rsidR="0068053C">
        <w:rPr>
          <w:noProof/>
          <w:lang w:val="en-GB" w:eastAsia="nb-NO"/>
        </w:rPr>
        <w:t xml:space="preserve"> and potentially </w:t>
      </w:r>
      <w:r w:rsidR="003E0503">
        <w:rPr>
          <w:noProof/>
          <w:lang w:val="en-GB" w:eastAsia="nb-NO"/>
        </w:rPr>
        <w:t>misleading</w:t>
      </w:r>
      <w:r w:rsidR="00A46CBB">
        <w:rPr>
          <w:noProof/>
          <w:lang w:val="en-GB" w:eastAsia="nb-NO"/>
        </w:rPr>
        <w:t xml:space="preserve"> picture of injury </w:t>
      </w:r>
      <w:r w:rsidR="004E6CFB">
        <w:rPr>
          <w:noProof/>
          <w:lang w:val="en-GB" w:eastAsia="nb-NO"/>
        </w:rPr>
        <w:t>epidemiology</w:t>
      </w:r>
      <w:r w:rsidR="00A46CBB">
        <w:rPr>
          <w:noProof/>
          <w:lang w:val="en-GB" w:eastAsia="nb-NO"/>
        </w:rPr>
        <w:t>.</w:t>
      </w:r>
    </w:p>
    <w:p w14:paraId="5C06CFC4" w14:textId="49828BFF" w:rsidR="001A50F3" w:rsidRDefault="002E5A03" w:rsidP="001A50F3">
      <w:pPr>
        <w:rPr>
          <w:noProof/>
          <w:lang w:val="en-GB" w:eastAsia="nb-NO"/>
        </w:rPr>
      </w:pPr>
      <w:r>
        <w:rPr>
          <w:noProof/>
          <w:lang w:val="en-GB" w:eastAsia="nb-NO"/>
        </w:rPr>
        <w:lastRenderedPageBreak/>
        <w:t>To our knowledge, this study is the first attempt to map injury diagnoses across classification systems in primary and s</w:t>
      </w:r>
      <w:r w:rsidR="00F66AAF">
        <w:rPr>
          <w:noProof/>
          <w:lang w:val="en-GB" w:eastAsia="nb-NO"/>
        </w:rPr>
        <w:t>econdary</w:t>
      </w:r>
      <w:r>
        <w:rPr>
          <w:noProof/>
          <w:lang w:val="en-GB" w:eastAsia="nb-NO"/>
        </w:rPr>
        <w:t xml:space="preserve"> care. </w:t>
      </w:r>
      <w:r w:rsidR="001A50F3">
        <w:rPr>
          <w:noProof/>
          <w:lang w:val="en-GB" w:eastAsia="nb-NO"/>
        </w:rPr>
        <w:t>By converting ICD-10 codes in s</w:t>
      </w:r>
      <w:r w:rsidR="00F66AAF">
        <w:rPr>
          <w:noProof/>
          <w:lang w:val="en-GB" w:eastAsia="nb-NO"/>
        </w:rPr>
        <w:t>econdary</w:t>
      </w:r>
      <w:r w:rsidR="001A50F3">
        <w:rPr>
          <w:noProof/>
          <w:lang w:val="en-GB" w:eastAsia="nb-NO"/>
        </w:rPr>
        <w:t xml:space="preserve"> care </w:t>
      </w:r>
      <w:r w:rsidR="00104336">
        <w:rPr>
          <w:noProof/>
          <w:lang w:val="en-GB" w:eastAsia="nb-NO"/>
        </w:rPr>
        <w:t>in</w:t>
      </w:r>
      <w:r w:rsidR="001A50F3">
        <w:rPr>
          <w:noProof/>
          <w:lang w:val="en-GB" w:eastAsia="nb-NO"/>
        </w:rPr>
        <w:t>to ICPC-2 codes, we found that most injury types were predominantly treated in primary care, with the exception of fractures. Eye and ear injuries were especially likely to be treated exclusively in primary care, while fractures, poisoning and head injur</w:t>
      </w:r>
      <w:r w:rsidR="00351F38">
        <w:rPr>
          <w:noProof/>
          <w:lang w:val="en-GB" w:eastAsia="nb-NO"/>
        </w:rPr>
        <w:t>ies</w:t>
      </w:r>
      <w:r w:rsidR="001A50F3">
        <w:rPr>
          <w:noProof/>
          <w:lang w:val="en-GB" w:eastAsia="nb-NO"/>
        </w:rPr>
        <w:t xml:space="preserve"> were most likely to be treated in both primary and s</w:t>
      </w:r>
      <w:r w:rsidR="00F66AAF">
        <w:rPr>
          <w:noProof/>
          <w:lang w:val="en-GB" w:eastAsia="nb-NO"/>
        </w:rPr>
        <w:t>econdary</w:t>
      </w:r>
      <w:r w:rsidR="001A50F3">
        <w:rPr>
          <w:noProof/>
          <w:lang w:val="en-GB" w:eastAsia="nb-NO"/>
        </w:rPr>
        <w:t xml:space="preserve"> care. Superficial injuries (i.e., lacerations, bites) seldom required treatment in both primary and s</w:t>
      </w:r>
      <w:r w:rsidR="00F66AAF">
        <w:rPr>
          <w:noProof/>
          <w:lang w:val="en-GB" w:eastAsia="nb-NO"/>
        </w:rPr>
        <w:t>econdary</w:t>
      </w:r>
      <w:r w:rsidR="001A50F3">
        <w:rPr>
          <w:noProof/>
          <w:lang w:val="en-GB" w:eastAsia="nb-NO"/>
        </w:rPr>
        <w:t xml:space="preserve"> care. These</w:t>
      </w:r>
      <w:r w:rsidR="00B51782">
        <w:rPr>
          <w:noProof/>
          <w:lang w:val="en-GB" w:eastAsia="nb-NO"/>
        </w:rPr>
        <w:t xml:space="preserve"> patterns likely reflect </w:t>
      </w:r>
      <w:r w:rsidR="001A50F3">
        <w:rPr>
          <w:noProof/>
          <w:lang w:val="en-GB" w:eastAsia="nb-NO"/>
        </w:rPr>
        <w:t xml:space="preserve">varying degrees of </w:t>
      </w:r>
      <w:r w:rsidR="00B51782">
        <w:rPr>
          <w:noProof/>
          <w:lang w:val="en-GB" w:eastAsia="nb-NO"/>
        </w:rPr>
        <w:t xml:space="preserve">injury severity and </w:t>
      </w:r>
      <w:r w:rsidR="001A50F3">
        <w:rPr>
          <w:noProof/>
          <w:lang w:val="en-GB" w:eastAsia="nb-NO"/>
        </w:rPr>
        <w:t>need for follow-up treatment.</w:t>
      </w:r>
      <w:r w:rsidR="007A6F96">
        <w:rPr>
          <w:noProof/>
          <w:lang w:val="en-GB" w:eastAsia="nb-NO"/>
        </w:rPr>
        <w:t xml:space="preserve"> </w:t>
      </w:r>
      <w:r>
        <w:rPr>
          <w:noProof/>
          <w:lang w:val="en-GB" w:eastAsia="nb-NO"/>
        </w:rPr>
        <w:t xml:space="preserve"> </w:t>
      </w:r>
    </w:p>
    <w:p w14:paraId="3D9498E0" w14:textId="70E01CF4" w:rsidR="006D1E71" w:rsidRDefault="006D1E71" w:rsidP="006D1E71">
      <w:pPr>
        <w:rPr>
          <w:lang w:val="en-GB"/>
        </w:rPr>
      </w:pPr>
      <w:r>
        <w:rPr>
          <w:lang w:val="en-GB"/>
        </w:rPr>
        <w:t>This study adds to a growing body of research using data linkage to assess the incidence and burden of injur</w:t>
      </w:r>
      <w:r w:rsidR="00B67289">
        <w:rPr>
          <w:lang w:val="en-GB"/>
        </w:rPr>
        <w:t xml:space="preserve">y </w:t>
      </w:r>
      <w:r w:rsidR="006629C1">
        <w:rPr>
          <w:lang w:val="en-GB"/>
        </w:rPr>
        <w:t>[</w:t>
      </w:r>
      <w:r w:rsidR="000035B5">
        <w:rPr>
          <w:lang w:val="en-GB"/>
        </w:rPr>
        <w:t>15-16, 24</w:t>
      </w:r>
      <w:r w:rsidR="005523AE">
        <w:rPr>
          <w:lang w:val="en-GB"/>
        </w:rPr>
        <w:t>-</w:t>
      </w:r>
      <w:r w:rsidR="005D57AB">
        <w:rPr>
          <w:lang w:val="en-GB"/>
        </w:rPr>
        <w:t>28]</w:t>
      </w:r>
      <w:r>
        <w:rPr>
          <w:lang w:val="en-GB"/>
        </w:rPr>
        <w:t>. However, analyses in past studies have often been restricted to specific types of injury (e.</w:t>
      </w:r>
      <w:r w:rsidR="00FB6F51">
        <w:rPr>
          <w:lang w:val="en-GB"/>
        </w:rPr>
        <w:t>g., poisoning, fractures, burns or</w:t>
      </w:r>
      <w:r>
        <w:rPr>
          <w:lang w:val="en-GB"/>
        </w:rPr>
        <w:t xml:space="preserve"> road traffic casualties) and/or to specific age gr</w:t>
      </w:r>
      <w:r w:rsidR="00B67289">
        <w:rPr>
          <w:lang w:val="en-GB"/>
        </w:rPr>
        <w:t xml:space="preserve">oups. The present study </w:t>
      </w:r>
      <w:r w:rsidR="001F53A4">
        <w:rPr>
          <w:lang w:val="en-GB"/>
        </w:rPr>
        <w:t>aimed to cover</w:t>
      </w:r>
      <w:r>
        <w:rPr>
          <w:lang w:val="en-GB"/>
        </w:rPr>
        <w:t xml:space="preserve"> all </w:t>
      </w:r>
      <w:r w:rsidR="00351F38">
        <w:rPr>
          <w:lang w:val="en-GB"/>
        </w:rPr>
        <w:t xml:space="preserve">injury </w:t>
      </w:r>
      <w:r w:rsidR="001F53A4">
        <w:rPr>
          <w:lang w:val="en-GB"/>
        </w:rPr>
        <w:t>categories</w:t>
      </w:r>
      <w:r>
        <w:rPr>
          <w:lang w:val="en-GB"/>
        </w:rPr>
        <w:t xml:space="preserve"> (both intentional and unintentional) and patients of all ages. Another strength of our study is that </w:t>
      </w:r>
      <w:r w:rsidR="00665C1F">
        <w:rPr>
          <w:lang w:val="en-GB"/>
        </w:rPr>
        <w:t xml:space="preserve">the data </w:t>
      </w:r>
      <w:r w:rsidR="00351F38">
        <w:rPr>
          <w:lang w:val="en-GB"/>
        </w:rPr>
        <w:t>were</w:t>
      </w:r>
      <w:r w:rsidR="00665C1F">
        <w:rPr>
          <w:lang w:val="en-GB"/>
        </w:rPr>
        <w:t xml:space="preserve"> linked at the individual level</w:t>
      </w:r>
      <w:r>
        <w:rPr>
          <w:lang w:val="en-GB"/>
        </w:rPr>
        <w:t xml:space="preserve">, rather than </w:t>
      </w:r>
      <w:r w:rsidR="005A0876">
        <w:rPr>
          <w:lang w:val="en-GB"/>
        </w:rPr>
        <w:t xml:space="preserve">by </w:t>
      </w:r>
      <w:r w:rsidR="00FB6F51">
        <w:rPr>
          <w:lang w:val="en-GB"/>
        </w:rPr>
        <w:t>compiling</w:t>
      </w:r>
      <w:r>
        <w:rPr>
          <w:lang w:val="en-GB"/>
        </w:rPr>
        <w:t xml:space="preserve"> aggregate</w:t>
      </w:r>
      <w:r w:rsidR="00665C1F">
        <w:rPr>
          <w:lang w:val="en-GB"/>
        </w:rPr>
        <w:t>d</w:t>
      </w:r>
      <w:r w:rsidR="00FB6F51">
        <w:rPr>
          <w:lang w:val="en-GB"/>
        </w:rPr>
        <w:t xml:space="preserve"> data </w:t>
      </w:r>
      <w:r>
        <w:rPr>
          <w:lang w:val="en-GB"/>
        </w:rPr>
        <w:t>fr</w:t>
      </w:r>
      <w:r w:rsidR="00665C1F">
        <w:rPr>
          <w:lang w:val="en-GB"/>
        </w:rPr>
        <w:t>om</w:t>
      </w:r>
      <w:r w:rsidR="00FB6F51">
        <w:rPr>
          <w:lang w:val="en-GB"/>
        </w:rPr>
        <w:t xml:space="preserve"> different sources</w:t>
      </w:r>
      <w:r>
        <w:rPr>
          <w:lang w:val="en-GB"/>
        </w:rPr>
        <w:t xml:space="preserve">, as done for </w:t>
      </w:r>
      <w:r w:rsidR="005D57AB">
        <w:rPr>
          <w:lang w:val="en-GB"/>
        </w:rPr>
        <w:t>instance by</w:t>
      </w:r>
      <w:r w:rsidR="005D57AB" w:rsidRPr="005D57AB">
        <w:rPr>
          <w:lang w:val="en-GB"/>
        </w:rPr>
        <w:t xml:space="preserve"> </w:t>
      </w:r>
      <w:proofErr w:type="spellStart"/>
      <w:r w:rsidR="005D57AB">
        <w:rPr>
          <w:lang w:val="en-GB"/>
        </w:rPr>
        <w:t>Polinder</w:t>
      </w:r>
      <w:proofErr w:type="spellEnd"/>
      <w:r w:rsidR="005D57AB">
        <w:rPr>
          <w:lang w:val="en-GB"/>
        </w:rPr>
        <w:t xml:space="preserve"> et al. [15] and </w:t>
      </w:r>
      <w:proofErr w:type="spellStart"/>
      <w:r w:rsidR="005D57AB">
        <w:rPr>
          <w:lang w:val="en-GB"/>
        </w:rPr>
        <w:t>Haagsma</w:t>
      </w:r>
      <w:proofErr w:type="spellEnd"/>
      <w:r w:rsidR="005D57AB">
        <w:rPr>
          <w:lang w:val="en-GB"/>
        </w:rPr>
        <w:t xml:space="preserve"> et al. [24]</w:t>
      </w:r>
      <w:r>
        <w:rPr>
          <w:lang w:val="en-GB"/>
        </w:rPr>
        <w:t>. This design</w:t>
      </w:r>
      <w:r w:rsidR="00917326">
        <w:rPr>
          <w:lang w:val="en-GB"/>
        </w:rPr>
        <w:t xml:space="preserve">, made possible by the </w:t>
      </w:r>
      <w:r w:rsidR="00F76AFE">
        <w:rPr>
          <w:lang w:val="en-GB"/>
        </w:rPr>
        <w:t>ability to link multiple population-</w:t>
      </w:r>
      <w:r w:rsidR="00917326">
        <w:rPr>
          <w:lang w:val="en-GB"/>
        </w:rPr>
        <w:t>based health registrie</w:t>
      </w:r>
      <w:r w:rsidR="00F76AFE">
        <w:rPr>
          <w:lang w:val="en-GB"/>
        </w:rPr>
        <w:t>s with</w:t>
      </w:r>
      <w:r w:rsidR="00917326">
        <w:rPr>
          <w:lang w:val="en-GB"/>
        </w:rPr>
        <w:t xml:space="preserve"> a personal identification number,</w:t>
      </w:r>
      <w:r w:rsidR="00EE6030">
        <w:rPr>
          <w:lang w:val="en-GB"/>
        </w:rPr>
        <w:t xml:space="preserve"> enabled</w:t>
      </w:r>
      <w:r>
        <w:rPr>
          <w:lang w:val="en-GB"/>
        </w:rPr>
        <w:t xml:space="preserve"> us to track individual patients across data sources, allowing for </w:t>
      </w:r>
      <w:r w:rsidR="00665C1F">
        <w:rPr>
          <w:lang w:val="en-GB"/>
        </w:rPr>
        <w:t xml:space="preserve">a more detailed analysis of individual </w:t>
      </w:r>
      <w:r>
        <w:rPr>
          <w:lang w:val="en-GB"/>
        </w:rPr>
        <w:t>treatme</w:t>
      </w:r>
      <w:r w:rsidR="005F26D4">
        <w:rPr>
          <w:lang w:val="en-GB"/>
        </w:rPr>
        <w:t xml:space="preserve">nt history. </w:t>
      </w:r>
    </w:p>
    <w:p w14:paraId="742DAF9E" w14:textId="11F56B04" w:rsidR="0083782B" w:rsidRDefault="008A7CF8" w:rsidP="006D1E71">
      <w:pPr>
        <w:rPr>
          <w:lang w:val="en-GB"/>
        </w:rPr>
      </w:pPr>
      <w:r>
        <w:rPr>
          <w:lang w:val="en-GB"/>
        </w:rPr>
        <w:t xml:space="preserve">This study </w:t>
      </w:r>
      <w:r w:rsidR="00DD7D3D">
        <w:rPr>
          <w:lang w:val="en-GB"/>
        </w:rPr>
        <w:t xml:space="preserve">has a number of limitations that </w:t>
      </w:r>
      <w:r w:rsidR="0065207D">
        <w:rPr>
          <w:lang w:val="en-GB"/>
        </w:rPr>
        <w:t xml:space="preserve">could </w:t>
      </w:r>
      <w:r w:rsidR="00DD7D3D">
        <w:rPr>
          <w:lang w:val="en-GB"/>
        </w:rPr>
        <w:t>affect the interpretation of the results.</w:t>
      </w:r>
      <w:r w:rsidR="007E3BC7">
        <w:rPr>
          <w:lang w:val="en-GB"/>
        </w:rPr>
        <w:t xml:space="preserve"> </w:t>
      </w:r>
      <w:r w:rsidR="00351F38">
        <w:rPr>
          <w:lang w:val="en-GB"/>
        </w:rPr>
        <w:t>F</w:t>
      </w:r>
      <w:r w:rsidR="00927FC8">
        <w:rPr>
          <w:lang w:val="en-GB"/>
        </w:rPr>
        <w:t>or simplicity</w:t>
      </w:r>
      <w:r w:rsidR="00351F38">
        <w:rPr>
          <w:lang w:val="en-GB"/>
        </w:rPr>
        <w:t>, we</w:t>
      </w:r>
      <w:r w:rsidR="007E3BC7">
        <w:rPr>
          <w:lang w:val="en-GB"/>
        </w:rPr>
        <w:t xml:space="preserve"> equated treatment in primary and s</w:t>
      </w:r>
      <w:r w:rsidR="00F66AAF">
        <w:rPr>
          <w:lang w:val="en-GB"/>
        </w:rPr>
        <w:t>econdary</w:t>
      </w:r>
      <w:r w:rsidR="007E3BC7">
        <w:rPr>
          <w:lang w:val="en-GB"/>
        </w:rPr>
        <w:t xml:space="preserve"> care with registrations in KUHR and NPR respective</w:t>
      </w:r>
      <w:r w:rsidR="00B67289">
        <w:rPr>
          <w:lang w:val="en-GB"/>
        </w:rPr>
        <w:t>ly</w:t>
      </w:r>
      <w:r w:rsidR="00351F38">
        <w:rPr>
          <w:lang w:val="en-GB"/>
        </w:rPr>
        <w:t>.</w:t>
      </w:r>
      <w:r w:rsidR="00B67289">
        <w:rPr>
          <w:lang w:val="en-GB"/>
        </w:rPr>
        <w:t xml:space="preserve"> </w:t>
      </w:r>
      <w:r w:rsidR="00351F38">
        <w:rPr>
          <w:lang w:val="en-GB"/>
        </w:rPr>
        <w:t xml:space="preserve">In reality, </w:t>
      </w:r>
      <w:r w:rsidR="00B67289">
        <w:rPr>
          <w:lang w:val="en-GB"/>
        </w:rPr>
        <w:t>this distinction</w:t>
      </w:r>
      <w:r w:rsidR="007E3BC7">
        <w:rPr>
          <w:lang w:val="en-GB"/>
        </w:rPr>
        <w:t xml:space="preserve"> is </w:t>
      </w:r>
      <w:r w:rsidR="00EF5001">
        <w:rPr>
          <w:lang w:val="en-GB"/>
        </w:rPr>
        <w:t xml:space="preserve">not </w:t>
      </w:r>
      <w:r w:rsidR="001F53A4">
        <w:rPr>
          <w:lang w:val="en-GB"/>
        </w:rPr>
        <w:t>clear-cut</w:t>
      </w:r>
      <w:r w:rsidR="007E3BC7">
        <w:rPr>
          <w:lang w:val="en-GB"/>
        </w:rPr>
        <w:t xml:space="preserve">. </w:t>
      </w:r>
      <w:r w:rsidR="00B226CC">
        <w:rPr>
          <w:lang w:val="en-GB"/>
        </w:rPr>
        <w:t xml:space="preserve">Whereas </w:t>
      </w:r>
      <w:r w:rsidR="009E1090">
        <w:rPr>
          <w:lang w:val="en-GB"/>
        </w:rPr>
        <w:t xml:space="preserve">minor injuries in most </w:t>
      </w:r>
      <w:r w:rsidR="00351F38">
        <w:rPr>
          <w:lang w:val="en-GB"/>
        </w:rPr>
        <w:t>municipal</w:t>
      </w:r>
      <w:r w:rsidR="009E1090">
        <w:rPr>
          <w:lang w:val="en-GB"/>
        </w:rPr>
        <w:t xml:space="preserve">ities in Norway </w:t>
      </w:r>
      <w:proofErr w:type="gramStart"/>
      <w:r w:rsidR="009E1090">
        <w:rPr>
          <w:lang w:val="en-GB"/>
        </w:rPr>
        <w:t>are mainly</w:t>
      </w:r>
      <w:r w:rsidR="00CC67F9">
        <w:rPr>
          <w:lang w:val="en-GB"/>
        </w:rPr>
        <w:t xml:space="preserve"> </w:t>
      </w:r>
      <w:r w:rsidR="00CF2A1D">
        <w:rPr>
          <w:lang w:val="en-GB"/>
        </w:rPr>
        <w:t>handled by primary care providers</w:t>
      </w:r>
      <w:r w:rsidR="005B4FC5">
        <w:rPr>
          <w:lang w:val="en-GB"/>
        </w:rPr>
        <w:t xml:space="preserve"> and registered in KUHR</w:t>
      </w:r>
      <w:r w:rsidR="009E1090">
        <w:rPr>
          <w:lang w:val="en-GB"/>
        </w:rPr>
        <w:t>,</w:t>
      </w:r>
      <w:proofErr w:type="gramEnd"/>
      <w:r w:rsidR="009E1090">
        <w:rPr>
          <w:lang w:val="en-GB"/>
        </w:rPr>
        <w:t xml:space="preserve"> </w:t>
      </w:r>
      <w:r w:rsidR="00CC67F9">
        <w:rPr>
          <w:lang w:val="en-GB"/>
        </w:rPr>
        <w:t>many of</w:t>
      </w:r>
      <w:r w:rsidR="004354C0">
        <w:rPr>
          <w:lang w:val="en-GB"/>
        </w:rPr>
        <w:t xml:space="preserve"> the same injuries</w:t>
      </w:r>
      <w:r w:rsidR="00CC67F9">
        <w:rPr>
          <w:lang w:val="en-GB"/>
        </w:rPr>
        <w:t xml:space="preserve"> </w:t>
      </w:r>
      <w:r w:rsidR="00660E25">
        <w:rPr>
          <w:lang w:val="en-GB"/>
        </w:rPr>
        <w:t>occurring</w:t>
      </w:r>
      <w:r w:rsidR="00CF2A1D">
        <w:rPr>
          <w:lang w:val="en-GB"/>
        </w:rPr>
        <w:t xml:space="preserve"> in</w:t>
      </w:r>
      <w:r w:rsidR="004355F6">
        <w:rPr>
          <w:lang w:val="en-GB"/>
        </w:rPr>
        <w:t xml:space="preserve"> </w:t>
      </w:r>
      <w:r w:rsidR="00351F38">
        <w:rPr>
          <w:lang w:val="en-GB"/>
        </w:rPr>
        <w:t>some</w:t>
      </w:r>
      <w:r w:rsidR="004355F6">
        <w:rPr>
          <w:lang w:val="en-GB"/>
        </w:rPr>
        <w:t xml:space="preserve"> of</w:t>
      </w:r>
      <w:r w:rsidR="00CF2A1D">
        <w:rPr>
          <w:lang w:val="en-GB"/>
        </w:rPr>
        <w:t xml:space="preserve"> the major cities </w:t>
      </w:r>
      <w:r w:rsidR="009E1090">
        <w:rPr>
          <w:lang w:val="en-GB"/>
        </w:rPr>
        <w:t>are</w:t>
      </w:r>
      <w:r w:rsidR="00C86F30">
        <w:rPr>
          <w:lang w:val="en-GB"/>
        </w:rPr>
        <w:t>, for organisa</w:t>
      </w:r>
      <w:r w:rsidR="00660E25">
        <w:rPr>
          <w:lang w:val="en-GB"/>
        </w:rPr>
        <w:t>tional or administrative purposes</w:t>
      </w:r>
      <w:r w:rsidR="00C86F30">
        <w:rPr>
          <w:lang w:val="en-GB"/>
        </w:rPr>
        <w:t>,</w:t>
      </w:r>
      <w:r w:rsidR="009E1090">
        <w:rPr>
          <w:lang w:val="en-GB"/>
        </w:rPr>
        <w:t xml:space="preserve"> instead</w:t>
      </w:r>
      <w:r w:rsidR="00660E25">
        <w:rPr>
          <w:lang w:val="en-GB"/>
        </w:rPr>
        <w:t xml:space="preserve"> </w:t>
      </w:r>
      <w:r w:rsidR="00A46687">
        <w:rPr>
          <w:lang w:val="en-GB"/>
        </w:rPr>
        <w:t>registered in NPR</w:t>
      </w:r>
      <w:r w:rsidR="00CC67F9">
        <w:rPr>
          <w:lang w:val="en-GB"/>
        </w:rPr>
        <w:t xml:space="preserve">. </w:t>
      </w:r>
      <w:r w:rsidR="00EF5001">
        <w:rPr>
          <w:lang w:val="en-GB"/>
        </w:rPr>
        <w:t>O</w:t>
      </w:r>
      <w:r w:rsidR="001F53A4">
        <w:rPr>
          <w:lang w:val="en-GB"/>
        </w:rPr>
        <w:t>ur comparison between primary and s</w:t>
      </w:r>
      <w:r w:rsidR="00F66AAF">
        <w:rPr>
          <w:lang w:val="en-GB"/>
        </w:rPr>
        <w:t>econdary</w:t>
      </w:r>
      <w:r w:rsidR="001F53A4">
        <w:rPr>
          <w:lang w:val="en-GB"/>
        </w:rPr>
        <w:t xml:space="preserve"> care may</w:t>
      </w:r>
      <w:r w:rsidR="00EF5001">
        <w:rPr>
          <w:lang w:val="en-GB"/>
        </w:rPr>
        <w:t xml:space="preserve"> therefore</w:t>
      </w:r>
      <w:r w:rsidR="001F53A4">
        <w:rPr>
          <w:lang w:val="en-GB"/>
        </w:rPr>
        <w:t xml:space="preserve"> have introduced information bias by misclassification of some</w:t>
      </w:r>
      <w:r w:rsidR="00B51782">
        <w:rPr>
          <w:lang w:val="en-GB"/>
        </w:rPr>
        <w:t xml:space="preserve"> groups of</w:t>
      </w:r>
      <w:r w:rsidR="001F53A4">
        <w:rPr>
          <w:lang w:val="en-GB"/>
        </w:rPr>
        <w:t xml:space="preserve"> </w:t>
      </w:r>
      <w:r w:rsidR="00E447C0">
        <w:rPr>
          <w:lang w:val="en-GB"/>
        </w:rPr>
        <w:t xml:space="preserve">injured </w:t>
      </w:r>
      <w:r w:rsidR="001F53A4">
        <w:rPr>
          <w:lang w:val="en-GB"/>
        </w:rPr>
        <w:t>patients</w:t>
      </w:r>
      <w:r w:rsidR="00EE2E8E">
        <w:rPr>
          <w:lang w:val="en-GB"/>
        </w:rPr>
        <w:t>.</w:t>
      </w:r>
      <w:r w:rsidR="00C86F30">
        <w:rPr>
          <w:lang w:val="en-GB"/>
        </w:rPr>
        <w:t xml:space="preserve"> </w:t>
      </w:r>
      <w:r w:rsidR="005A122B">
        <w:rPr>
          <w:lang w:val="en-GB"/>
        </w:rPr>
        <w:t>Likewise, t</w:t>
      </w:r>
      <w:r w:rsidR="0083782B">
        <w:rPr>
          <w:lang w:val="en-GB"/>
        </w:rPr>
        <w:t xml:space="preserve">he </w:t>
      </w:r>
      <w:r w:rsidR="0083782B">
        <w:rPr>
          <w:lang w:val="en-GB"/>
        </w:rPr>
        <w:lastRenderedPageBreak/>
        <w:t>results from th</w:t>
      </w:r>
      <w:r w:rsidR="00CE159C">
        <w:rPr>
          <w:lang w:val="en-GB"/>
        </w:rPr>
        <w:t xml:space="preserve">is study </w:t>
      </w:r>
      <w:r w:rsidR="001421BF">
        <w:rPr>
          <w:lang w:val="en-GB"/>
        </w:rPr>
        <w:t>will</w:t>
      </w:r>
      <w:r w:rsidR="0083782B">
        <w:rPr>
          <w:lang w:val="en-GB"/>
        </w:rPr>
        <w:t xml:space="preserve"> not necessarily generalise to countries where the health care system is organised differently.  </w:t>
      </w:r>
    </w:p>
    <w:p w14:paraId="5BB73F8F" w14:textId="24D0B635" w:rsidR="00220D1C" w:rsidRDefault="00B37ADA" w:rsidP="006D1E71">
      <w:pPr>
        <w:rPr>
          <w:lang w:val="en-GB"/>
        </w:rPr>
      </w:pPr>
      <w:r>
        <w:rPr>
          <w:lang w:val="en-GB"/>
        </w:rPr>
        <w:t xml:space="preserve">In addition, </w:t>
      </w:r>
      <w:r w:rsidR="000D2C64">
        <w:rPr>
          <w:lang w:val="en-GB"/>
        </w:rPr>
        <w:t xml:space="preserve">there </w:t>
      </w:r>
      <w:r w:rsidR="00EF461A">
        <w:rPr>
          <w:lang w:val="en-GB"/>
        </w:rPr>
        <w:t xml:space="preserve">are </w:t>
      </w:r>
      <w:r w:rsidR="000D2C64">
        <w:rPr>
          <w:lang w:val="en-GB"/>
        </w:rPr>
        <w:t>questions a</w:t>
      </w:r>
      <w:r w:rsidR="00EF5001">
        <w:rPr>
          <w:lang w:val="en-GB"/>
        </w:rPr>
        <w:t>s to the validity of the</w:t>
      </w:r>
      <w:r w:rsidR="008B570B">
        <w:rPr>
          <w:lang w:val="en-GB"/>
        </w:rPr>
        <w:t>se</w:t>
      </w:r>
      <w:r w:rsidR="00EF5001">
        <w:rPr>
          <w:lang w:val="en-GB"/>
        </w:rPr>
        <w:t xml:space="preserve"> data</w:t>
      </w:r>
      <w:r w:rsidR="00C007C1">
        <w:rPr>
          <w:lang w:val="en-GB"/>
        </w:rPr>
        <w:t>, especially</w:t>
      </w:r>
      <w:r w:rsidR="000D2C64">
        <w:rPr>
          <w:lang w:val="en-GB"/>
        </w:rPr>
        <w:t xml:space="preserve"> in primary care.</w:t>
      </w:r>
      <w:r>
        <w:rPr>
          <w:lang w:val="en-GB"/>
        </w:rPr>
        <w:t xml:space="preserve"> </w:t>
      </w:r>
      <w:r w:rsidR="00C86F30">
        <w:rPr>
          <w:lang w:val="en-GB"/>
        </w:rPr>
        <w:t>KUHR is primarily an administrative register</w:t>
      </w:r>
      <w:r w:rsidR="00EF461A">
        <w:rPr>
          <w:lang w:val="en-GB"/>
        </w:rPr>
        <w:t xml:space="preserve"> used to reimburse primary care services and has not been</w:t>
      </w:r>
      <w:r w:rsidR="00C007C1">
        <w:rPr>
          <w:lang w:val="en-GB"/>
        </w:rPr>
        <w:t xml:space="preserve"> sub</w:t>
      </w:r>
      <w:r w:rsidR="009E4357">
        <w:rPr>
          <w:lang w:val="en-GB"/>
        </w:rPr>
        <w:t>ject to</w:t>
      </w:r>
      <w:r w:rsidR="00C007C1">
        <w:rPr>
          <w:lang w:val="en-GB"/>
        </w:rPr>
        <w:t xml:space="preserve"> much scientific investigation</w:t>
      </w:r>
      <w:r w:rsidR="000D2C64">
        <w:rPr>
          <w:lang w:val="en-GB"/>
        </w:rPr>
        <w:t>. The validity of diagnostic codes in this register is therefore</w:t>
      </w:r>
      <w:r w:rsidR="0065207D">
        <w:rPr>
          <w:lang w:val="en-GB"/>
        </w:rPr>
        <w:t xml:space="preserve"> largely</w:t>
      </w:r>
      <w:r w:rsidR="000D2C64">
        <w:rPr>
          <w:lang w:val="en-GB"/>
        </w:rPr>
        <w:t xml:space="preserve"> unknown</w:t>
      </w:r>
      <w:r w:rsidR="00C007C1">
        <w:rPr>
          <w:lang w:val="en-GB"/>
        </w:rPr>
        <w:t xml:space="preserve">. </w:t>
      </w:r>
      <w:r w:rsidR="00CA4AD2">
        <w:rPr>
          <w:lang w:val="en-GB"/>
        </w:rPr>
        <w:t>Consequently</w:t>
      </w:r>
      <w:r w:rsidR="008B570B">
        <w:rPr>
          <w:lang w:val="en-GB"/>
        </w:rPr>
        <w:t xml:space="preserve">, </w:t>
      </w:r>
      <w:r w:rsidR="00CA4AD2">
        <w:rPr>
          <w:lang w:val="en-GB"/>
        </w:rPr>
        <w:t>our estimates of injury incidence in primary care may be biased</w:t>
      </w:r>
      <w:r w:rsidR="008B570B">
        <w:rPr>
          <w:lang w:val="en-GB"/>
        </w:rPr>
        <w:t>.</w:t>
      </w:r>
      <w:r w:rsidR="00E447C0">
        <w:rPr>
          <w:lang w:val="en-GB"/>
        </w:rPr>
        <w:t xml:space="preserve"> </w:t>
      </w:r>
      <w:r w:rsidR="00220D1C">
        <w:rPr>
          <w:lang w:val="en-GB"/>
        </w:rPr>
        <w:t>The quality of data is also a concern in secondary care,</w:t>
      </w:r>
      <w:r w:rsidR="00F87FF9">
        <w:rPr>
          <w:lang w:val="en-GB"/>
        </w:rPr>
        <w:t xml:space="preserve"> especially as the choice of</w:t>
      </w:r>
      <w:r w:rsidR="00220D1C">
        <w:rPr>
          <w:lang w:val="en-GB"/>
        </w:rPr>
        <w:t xml:space="preserve"> diagnostic code</w:t>
      </w:r>
      <w:r w:rsidR="00F87FF9">
        <w:rPr>
          <w:lang w:val="en-GB"/>
        </w:rPr>
        <w:t>s</w:t>
      </w:r>
      <w:r w:rsidR="00220D1C">
        <w:rPr>
          <w:lang w:val="en-GB"/>
        </w:rPr>
        <w:t xml:space="preserve"> </w:t>
      </w:r>
      <w:r w:rsidR="00F87FF9">
        <w:rPr>
          <w:lang w:val="en-GB"/>
        </w:rPr>
        <w:t xml:space="preserve">has </w:t>
      </w:r>
      <w:r w:rsidR="00A06C09">
        <w:rPr>
          <w:lang w:val="en-GB"/>
        </w:rPr>
        <w:t xml:space="preserve">direct </w:t>
      </w:r>
      <w:r w:rsidR="00F87FF9">
        <w:rPr>
          <w:lang w:val="en-GB"/>
        </w:rPr>
        <w:t xml:space="preserve">financial </w:t>
      </w:r>
      <w:r w:rsidR="00351F38">
        <w:rPr>
          <w:lang w:val="en-GB"/>
        </w:rPr>
        <w:t>implicat</w:t>
      </w:r>
      <w:r w:rsidR="00F87FF9">
        <w:rPr>
          <w:lang w:val="en-GB"/>
        </w:rPr>
        <w:t xml:space="preserve">ions for the hospital. </w:t>
      </w:r>
      <w:r w:rsidR="00351F38">
        <w:rPr>
          <w:lang w:val="en-GB"/>
        </w:rPr>
        <w:t>Several</w:t>
      </w:r>
      <w:r w:rsidR="00F87FF9">
        <w:rPr>
          <w:lang w:val="en-GB"/>
        </w:rPr>
        <w:t xml:space="preserve"> studies have attempted to valida</w:t>
      </w:r>
      <w:r w:rsidR="00B33DD5">
        <w:rPr>
          <w:lang w:val="en-GB"/>
        </w:rPr>
        <w:t>te diagnostic codes for fractures</w:t>
      </w:r>
      <w:r w:rsidR="00F87FF9">
        <w:rPr>
          <w:lang w:val="en-GB"/>
        </w:rPr>
        <w:t xml:space="preserve">, with mainly </w:t>
      </w:r>
      <w:r w:rsidR="009E47E2">
        <w:rPr>
          <w:lang w:val="en-GB"/>
        </w:rPr>
        <w:t>positive</w:t>
      </w:r>
      <w:r w:rsidR="00F87FF9">
        <w:rPr>
          <w:lang w:val="en-GB"/>
        </w:rPr>
        <w:t xml:space="preserve"> outcomes [29</w:t>
      </w:r>
      <w:r w:rsidR="005D4606">
        <w:rPr>
          <w:lang w:val="en-GB"/>
        </w:rPr>
        <w:t>-32]</w:t>
      </w:r>
      <w:r w:rsidR="00962A1B">
        <w:rPr>
          <w:lang w:val="en-GB"/>
        </w:rPr>
        <w:t xml:space="preserve">. However, we need more </w:t>
      </w:r>
      <w:r w:rsidR="00A06C09">
        <w:rPr>
          <w:lang w:val="en-GB"/>
        </w:rPr>
        <w:t>validation st</w:t>
      </w:r>
      <w:r w:rsidR="00962A1B">
        <w:rPr>
          <w:lang w:val="en-GB"/>
        </w:rPr>
        <w:t xml:space="preserve">udies to assess the quality of </w:t>
      </w:r>
      <w:r w:rsidR="00E52C00">
        <w:rPr>
          <w:lang w:val="en-GB"/>
        </w:rPr>
        <w:t xml:space="preserve">register </w:t>
      </w:r>
      <w:r w:rsidR="00962A1B">
        <w:rPr>
          <w:lang w:val="en-GB"/>
        </w:rPr>
        <w:t>data, both in primary and secondary care</w:t>
      </w:r>
      <w:r w:rsidR="00A06C09">
        <w:rPr>
          <w:lang w:val="en-GB"/>
        </w:rPr>
        <w:t>.</w:t>
      </w:r>
    </w:p>
    <w:p w14:paraId="60008228" w14:textId="5FF9A834" w:rsidR="00312977" w:rsidRDefault="009E4357" w:rsidP="006D1E71">
      <w:pPr>
        <w:rPr>
          <w:lang w:val="en-GB"/>
        </w:rPr>
      </w:pPr>
      <w:r>
        <w:rPr>
          <w:lang w:val="en-GB"/>
        </w:rPr>
        <w:t>Another limitation</w:t>
      </w:r>
      <w:r w:rsidR="00B90B8C">
        <w:rPr>
          <w:lang w:val="en-GB"/>
        </w:rPr>
        <w:t xml:space="preserve"> concerns our method of </w:t>
      </w:r>
      <w:r>
        <w:rPr>
          <w:lang w:val="en-GB"/>
        </w:rPr>
        <w:t>calculating incidence rates</w:t>
      </w:r>
      <w:r w:rsidR="00F92911">
        <w:rPr>
          <w:lang w:val="en-GB"/>
        </w:rPr>
        <w:t xml:space="preserve">, </w:t>
      </w:r>
      <w:r w:rsidR="00905540">
        <w:rPr>
          <w:lang w:val="en-GB"/>
        </w:rPr>
        <w:t xml:space="preserve">where we counted the number </w:t>
      </w:r>
      <w:r w:rsidR="00AC3218">
        <w:rPr>
          <w:lang w:val="en-GB"/>
        </w:rPr>
        <w:t>of injured individuals</w:t>
      </w:r>
      <w:r w:rsidR="00FB6F51">
        <w:rPr>
          <w:lang w:val="en-GB"/>
        </w:rPr>
        <w:t xml:space="preserve"> within calendar years, rather than</w:t>
      </w:r>
      <w:r w:rsidR="00905540">
        <w:rPr>
          <w:lang w:val="en-GB"/>
        </w:rPr>
        <w:t xml:space="preserve"> the </w:t>
      </w:r>
      <w:r w:rsidR="00FB6F51">
        <w:rPr>
          <w:lang w:val="en-GB"/>
        </w:rPr>
        <w:t xml:space="preserve">total </w:t>
      </w:r>
      <w:r w:rsidR="00905540">
        <w:rPr>
          <w:lang w:val="en-GB"/>
        </w:rPr>
        <w:t>number of separate injury events.</w:t>
      </w:r>
      <w:r w:rsidR="00DB1FBB">
        <w:rPr>
          <w:lang w:val="en-GB"/>
        </w:rPr>
        <w:t xml:space="preserve"> </w:t>
      </w:r>
      <w:r w:rsidR="00F92911">
        <w:rPr>
          <w:lang w:val="en-GB"/>
        </w:rPr>
        <w:t>As patient</w:t>
      </w:r>
      <w:r w:rsidR="00FB6F51">
        <w:rPr>
          <w:lang w:val="en-GB"/>
        </w:rPr>
        <w:t>s suffering more than one</w:t>
      </w:r>
      <w:r w:rsidR="00DB1FBB">
        <w:rPr>
          <w:lang w:val="en-GB"/>
        </w:rPr>
        <w:t xml:space="preserve"> </w:t>
      </w:r>
      <w:r w:rsidR="00F92911">
        <w:rPr>
          <w:lang w:val="en-GB"/>
        </w:rPr>
        <w:t xml:space="preserve">injury </w:t>
      </w:r>
      <w:r w:rsidR="009E47E2">
        <w:rPr>
          <w:lang w:val="en-GB"/>
        </w:rPr>
        <w:t xml:space="preserve">in </w:t>
      </w:r>
      <w:r w:rsidR="00F92911">
        <w:rPr>
          <w:lang w:val="en-GB"/>
        </w:rPr>
        <w:t xml:space="preserve">a particular year </w:t>
      </w:r>
      <w:proofErr w:type="gramStart"/>
      <w:r w:rsidR="00F92911">
        <w:rPr>
          <w:lang w:val="en-GB"/>
        </w:rPr>
        <w:t>were counted</w:t>
      </w:r>
      <w:proofErr w:type="gramEnd"/>
      <w:r w:rsidR="00F92911">
        <w:rPr>
          <w:lang w:val="en-GB"/>
        </w:rPr>
        <w:t xml:space="preserve"> </w:t>
      </w:r>
      <w:r w:rsidR="009E47E2">
        <w:rPr>
          <w:lang w:val="en-GB"/>
        </w:rPr>
        <w:t xml:space="preserve">only </w:t>
      </w:r>
      <w:r w:rsidR="00F92911">
        <w:rPr>
          <w:lang w:val="en-GB"/>
        </w:rPr>
        <w:t>once</w:t>
      </w:r>
      <w:r w:rsidR="00AC3218">
        <w:rPr>
          <w:lang w:val="en-GB"/>
        </w:rPr>
        <w:t xml:space="preserve"> that year</w:t>
      </w:r>
      <w:r w:rsidR="00F92911">
        <w:rPr>
          <w:lang w:val="en-GB"/>
        </w:rPr>
        <w:t>, t</w:t>
      </w:r>
      <w:r w:rsidR="00AC3218">
        <w:rPr>
          <w:lang w:val="en-GB"/>
        </w:rPr>
        <w:t xml:space="preserve">his study </w:t>
      </w:r>
      <w:r w:rsidR="00F92911">
        <w:rPr>
          <w:lang w:val="en-GB"/>
        </w:rPr>
        <w:t xml:space="preserve">underestimates </w:t>
      </w:r>
      <w:r w:rsidR="00040ED5">
        <w:rPr>
          <w:lang w:val="en-GB"/>
        </w:rPr>
        <w:t>the total incid</w:t>
      </w:r>
      <w:r w:rsidR="00F92911">
        <w:rPr>
          <w:lang w:val="en-GB"/>
        </w:rPr>
        <w:t>ence of injuries</w:t>
      </w:r>
      <w:r w:rsidR="00040ED5">
        <w:rPr>
          <w:lang w:val="en-GB"/>
        </w:rPr>
        <w:t>.</w:t>
      </w:r>
      <w:r w:rsidR="0004127A">
        <w:rPr>
          <w:lang w:val="en-GB"/>
        </w:rPr>
        <w:t xml:space="preserve"> </w:t>
      </w:r>
      <w:r w:rsidR="0065207D">
        <w:rPr>
          <w:lang w:val="en-GB"/>
        </w:rPr>
        <w:t xml:space="preserve">We should also note that </w:t>
      </w:r>
      <w:r w:rsidR="00DB7B06">
        <w:rPr>
          <w:lang w:val="en-GB"/>
        </w:rPr>
        <w:t>this study</w:t>
      </w:r>
      <w:r w:rsidR="00E1476E">
        <w:rPr>
          <w:lang w:val="en-GB"/>
        </w:rPr>
        <w:t xml:space="preserve"> only</w:t>
      </w:r>
      <w:r w:rsidR="00E36C8F">
        <w:rPr>
          <w:lang w:val="en-GB"/>
        </w:rPr>
        <w:t xml:space="preserve"> capture</w:t>
      </w:r>
      <w:r w:rsidR="00E1476E">
        <w:rPr>
          <w:lang w:val="en-GB"/>
        </w:rPr>
        <w:t xml:space="preserve">s </w:t>
      </w:r>
      <w:r w:rsidR="00E36C8F">
        <w:rPr>
          <w:lang w:val="en-GB"/>
        </w:rPr>
        <w:t>medically treated injur</w:t>
      </w:r>
      <w:r w:rsidR="00CA4AD2">
        <w:rPr>
          <w:lang w:val="en-GB"/>
        </w:rPr>
        <w:t xml:space="preserve">ies </w:t>
      </w:r>
      <w:r w:rsidR="00E1476E">
        <w:rPr>
          <w:lang w:val="en-GB"/>
        </w:rPr>
        <w:t>within the public health service</w:t>
      </w:r>
      <w:r w:rsidR="00CA4AD2">
        <w:rPr>
          <w:lang w:val="en-GB"/>
        </w:rPr>
        <w:t xml:space="preserve">, as the two </w:t>
      </w:r>
      <w:r w:rsidR="00CE7C81">
        <w:rPr>
          <w:lang w:val="en-GB"/>
        </w:rPr>
        <w:t xml:space="preserve">available </w:t>
      </w:r>
      <w:r w:rsidR="00CA4AD2">
        <w:rPr>
          <w:lang w:val="en-GB"/>
        </w:rPr>
        <w:t xml:space="preserve">registers used </w:t>
      </w:r>
      <w:r w:rsidR="00CE7C81">
        <w:rPr>
          <w:lang w:val="en-GB"/>
        </w:rPr>
        <w:t xml:space="preserve">here </w:t>
      </w:r>
      <w:r w:rsidR="00E36C8F">
        <w:rPr>
          <w:lang w:val="en-GB"/>
        </w:rPr>
        <w:t>lack</w:t>
      </w:r>
      <w:r w:rsidR="00DD6A83">
        <w:rPr>
          <w:lang w:val="en-GB"/>
        </w:rPr>
        <w:t xml:space="preserve"> data</w:t>
      </w:r>
      <w:r w:rsidR="00660E25">
        <w:rPr>
          <w:lang w:val="en-GB"/>
        </w:rPr>
        <w:t xml:space="preserve"> </w:t>
      </w:r>
      <w:r w:rsidR="009E47E2">
        <w:rPr>
          <w:lang w:val="en-GB"/>
        </w:rPr>
        <w:t>for</w:t>
      </w:r>
      <w:r w:rsidR="00660E25">
        <w:rPr>
          <w:lang w:val="en-GB"/>
        </w:rPr>
        <w:t xml:space="preserve"> injuries treated at</w:t>
      </w:r>
      <w:r w:rsidR="00E36C8F">
        <w:rPr>
          <w:lang w:val="en-GB"/>
        </w:rPr>
        <w:t xml:space="preserve"> private care facilities</w:t>
      </w:r>
      <w:r w:rsidR="00DB7B06">
        <w:rPr>
          <w:lang w:val="en-GB"/>
        </w:rPr>
        <w:t xml:space="preserve">. </w:t>
      </w:r>
      <w:r w:rsidR="00341FB6">
        <w:rPr>
          <w:lang w:val="en-GB"/>
        </w:rPr>
        <w:t>A</w:t>
      </w:r>
      <w:r w:rsidR="00DD6A83">
        <w:rPr>
          <w:lang w:val="en-GB"/>
        </w:rPr>
        <w:t xml:space="preserve">s </w:t>
      </w:r>
      <w:r w:rsidR="00E446E6">
        <w:rPr>
          <w:lang w:val="en-GB"/>
        </w:rPr>
        <w:t xml:space="preserve">private treatment </w:t>
      </w:r>
      <w:proofErr w:type="gramStart"/>
      <w:r w:rsidR="00E446E6">
        <w:rPr>
          <w:lang w:val="en-GB"/>
        </w:rPr>
        <w:t xml:space="preserve">is </w:t>
      </w:r>
      <w:r w:rsidR="00DD6A83">
        <w:rPr>
          <w:lang w:val="en-GB"/>
        </w:rPr>
        <w:t>usually</w:t>
      </w:r>
      <w:r w:rsidR="00CE7C81">
        <w:rPr>
          <w:lang w:val="en-GB"/>
        </w:rPr>
        <w:t xml:space="preserve"> cover</w:t>
      </w:r>
      <w:r w:rsidR="00E446E6">
        <w:rPr>
          <w:lang w:val="en-GB"/>
        </w:rPr>
        <w:t>ed</w:t>
      </w:r>
      <w:proofErr w:type="gramEnd"/>
      <w:r w:rsidR="00E446E6">
        <w:rPr>
          <w:lang w:val="en-GB"/>
        </w:rPr>
        <w:t xml:space="preserve"> at the patient’s</w:t>
      </w:r>
      <w:r w:rsidR="009E47E2">
        <w:rPr>
          <w:lang w:val="en-GB"/>
        </w:rPr>
        <w:t xml:space="preserve"> </w:t>
      </w:r>
      <w:r w:rsidR="00CE7C81">
        <w:rPr>
          <w:lang w:val="en-GB"/>
        </w:rPr>
        <w:t>own expense</w:t>
      </w:r>
      <w:r w:rsidR="00DD6A83">
        <w:rPr>
          <w:lang w:val="en-GB"/>
        </w:rPr>
        <w:t>, th</w:t>
      </w:r>
      <w:r w:rsidR="009E47E2">
        <w:rPr>
          <w:lang w:val="en-GB"/>
        </w:rPr>
        <w:t>e</w:t>
      </w:r>
      <w:r w:rsidR="00E446E6">
        <w:rPr>
          <w:lang w:val="en-GB"/>
        </w:rPr>
        <w:t>se injuries</w:t>
      </w:r>
      <w:r w:rsidR="00DD6A83">
        <w:rPr>
          <w:lang w:val="en-GB"/>
        </w:rPr>
        <w:t xml:space="preserve"> </w:t>
      </w:r>
      <w:r w:rsidR="00E446E6">
        <w:rPr>
          <w:lang w:val="en-GB"/>
        </w:rPr>
        <w:t xml:space="preserve">are </w:t>
      </w:r>
      <w:r w:rsidR="00DD6A83">
        <w:rPr>
          <w:lang w:val="en-GB"/>
        </w:rPr>
        <w:t>not systematically</w:t>
      </w:r>
      <w:r w:rsidR="00341FB6">
        <w:rPr>
          <w:lang w:val="en-GB"/>
        </w:rPr>
        <w:t xml:space="preserve"> </w:t>
      </w:r>
      <w:r w:rsidR="00DB7B06">
        <w:rPr>
          <w:lang w:val="en-GB"/>
        </w:rPr>
        <w:t>reported to official r</w:t>
      </w:r>
      <w:r w:rsidR="00341FB6">
        <w:rPr>
          <w:lang w:val="en-GB"/>
        </w:rPr>
        <w:t>egisters</w:t>
      </w:r>
      <w:r w:rsidR="00DD6A83">
        <w:rPr>
          <w:lang w:val="en-GB"/>
        </w:rPr>
        <w:t>. We th</w:t>
      </w:r>
      <w:r w:rsidR="009E47E2">
        <w:rPr>
          <w:lang w:val="en-GB"/>
        </w:rPr>
        <w:t>erefore</w:t>
      </w:r>
      <w:r w:rsidR="00DD6A83">
        <w:rPr>
          <w:lang w:val="en-GB"/>
        </w:rPr>
        <w:t xml:space="preserve"> have little information about the extent of injuries treated</w:t>
      </w:r>
      <w:r w:rsidR="00312977">
        <w:rPr>
          <w:lang w:val="en-GB"/>
        </w:rPr>
        <w:t xml:space="preserve"> in the private sector. For the same</w:t>
      </w:r>
      <w:r w:rsidR="00DD6A83">
        <w:rPr>
          <w:lang w:val="en-GB"/>
        </w:rPr>
        <w:t xml:space="preserve"> reason, we also lack data</w:t>
      </w:r>
      <w:r w:rsidR="00312977">
        <w:rPr>
          <w:lang w:val="en-GB"/>
        </w:rPr>
        <w:t xml:space="preserve"> </w:t>
      </w:r>
      <w:r w:rsidR="009E47E2">
        <w:rPr>
          <w:lang w:val="en-GB"/>
        </w:rPr>
        <w:t>for</w:t>
      </w:r>
      <w:r w:rsidR="00312977">
        <w:rPr>
          <w:lang w:val="en-GB"/>
        </w:rPr>
        <w:t xml:space="preserve"> dental injuries</w:t>
      </w:r>
      <w:r w:rsidR="00DD6A83">
        <w:rPr>
          <w:lang w:val="en-GB"/>
        </w:rPr>
        <w:t>, as</w:t>
      </w:r>
      <w:r w:rsidR="00312977">
        <w:rPr>
          <w:lang w:val="en-GB"/>
        </w:rPr>
        <w:t xml:space="preserve"> </w:t>
      </w:r>
      <w:r w:rsidR="00A225BF">
        <w:rPr>
          <w:lang w:val="en-GB"/>
        </w:rPr>
        <w:t>dental health services</w:t>
      </w:r>
      <w:r w:rsidR="00312977">
        <w:rPr>
          <w:lang w:val="en-GB"/>
        </w:rPr>
        <w:t xml:space="preserve"> </w:t>
      </w:r>
      <w:r w:rsidR="004C7FA5">
        <w:rPr>
          <w:lang w:val="en-GB"/>
        </w:rPr>
        <w:t xml:space="preserve">in Norway mainly </w:t>
      </w:r>
      <w:proofErr w:type="gramStart"/>
      <w:r w:rsidR="00D651CE">
        <w:rPr>
          <w:lang w:val="en-GB"/>
        </w:rPr>
        <w:t>are</w:t>
      </w:r>
      <w:r w:rsidR="00312977">
        <w:rPr>
          <w:lang w:val="en-GB"/>
        </w:rPr>
        <w:t xml:space="preserve"> provided</w:t>
      </w:r>
      <w:proofErr w:type="gramEnd"/>
      <w:r w:rsidR="00312977">
        <w:rPr>
          <w:lang w:val="en-GB"/>
        </w:rPr>
        <w:t xml:space="preserve"> by private dentists. </w:t>
      </w:r>
      <w:r w:rsidR="0011362C">
        <w:rPr>
          <w:lang w:val="en-GB"/>
        </w:rPr>
        <w:t>With</w:t>
      </w:r>
      <w:r w:rsidR="004C7FA5">
        <w:rPr>
          <w:lang w:val="en-GB"/>
        </w:rPr>
        <w:t>out an</w:t>
      </w:r>
      <w:r w:rsidR="0011362C">
        <w:rPr>
          <w:lang w:val="en-GB"/>
        </w:rPr>
        <w:t xml:space="preserve"> official </w:t>
      </w:r>
      <w:r w:rsidR="004C7FA5">
        <w:rPr>
          <w:lang w:val="en-GB"/>
        </w:rPr>
        <w:t xml:space="preserve">registration </w:t>
      </w:r>
      <w:r w:rsidR="0011362C">
        <w:rPr>
          <w:lang w:val="en-GB"/>
        </w:rPr>
        <w:t xml:space="preserve">system for treatment </w:t>
      </w:r>
      <w:r w:rsidR="006F0A46">
        <w:rPr>
          <w:lang w:val="en-GB"/>
        </w:rPr>
        <w:t>at private facilities</w:t>
      </w:r>
      <w:r w:rsidR="0011362C">
        <w:rPr>
          <w:lang w:val="en-GB"/>
        </w:rPr>
        <w:t>, it is difficult to q</w:t>
      </w:r>
      <w:r w:rsidR="00912E1F">
        <w:rPr>
          <w:lang w:val="en-GB"/>
        </w:rPr>
        <w:t>uantify</w:t>
      </w:r>
      <w:r w:rsidR="0011362C">
        <w:rPr>
          <w:lang w:val="en-GB"/>
        </w:rPr>
        <w:t xml:space="preserve"> the impact </w:t>
      </w:r>
      <w:r w:rsidR="006F0A46">
        <w:rPr>
          <w:lang w:val="en-GB"/>
        </w:rPr>
        <w:t xml:space="preserve">of these injuries </w:t>
      </w:r>
      <w:r w:rsidR="0011362C">
        <w:rPr>
          <w:lang w:val="en-GB"/>
        </w:rPr>
        <w:t>on total injury rates. However, a recent study from Sweden found that about 2 per cent of children aged 8-10 years</w:t>
      </w:r>
      <w:r w:rsidR="006F0A46">
        <w:rPr>
          <w:lang w:val="en-GB"/>
        </w:rPr>
        <w:t xml:space="preserve"> </w:t>
      </w:r>
      <w:r w:rsidR="0011362C">
        <w:rPr>
          <w:lang w:val="en-GB"/>
        </w:rPr>
        <w:t xml:space="preserve">experienced at least one dental trauma during a </w:t>
      </w:r>
      <w:r w:rsidR="00912E1F">
        <w:rPr>
          <w:lang w:val="en-GB"/>
        </w:rPr>
        <w:t>three-year</w:t>
      </w:r>
      <w:r w:rsidR="0011362C">
        <w:rPr>
          <w:lang w:val="en-GB"/>
        </w:rPr>
        <w:t xml:space="preserve"> period </w:t>
      </w:r>
      <w:r w:rsidR="00B33DD5">
        <w:rPr>
          <w:lang w:val="en-GB"/>
        </w:rPr>
        <w:t>[33</w:t>
      </w:r>
      <w:r w:rsidR="0011362C">
        <w:rPr>
          <w:lang w:val="en-GB"/>
        </w:rPr>
        <w:t>]</w:t>
      </w:r>
      <w:r w:rsidR="00912E1F">
        <w:rPr>
          <w:lang w:val="en-GB"/>
        </w:rPr>
        <w:t>.</w:t>
      </w:r>
      <w:r w:rsidR="0011362C">
        <w:rPr>
          <w:lang w:val="en-GB"/>
        </w:rPr>
        <w:t xml:space="preserve"> </w:t>
      </w:r>
    </w:p>
    <w:p w14:paraId="2F060ED7" w14:textId="07B338B4" w:rsidR="009104DC" w:rsidRDefault="00D651CE" w:rsidP="006D1E71">
      <w:pPr>
        <w:rPr>
          <w:lang w:val="en-GB"/>
        </w:rPr>
      </w:pPr>
      <w:r>
        <w:rPr>
          <w:lang w:val="en-GB"/>
        </w:rPr>
        <w:t xml:space="preserve">Finally, </w:t>
      </w:r>
      <w:r w:rsidR="00D67D79">
        <w:rPr>
          <w:lang w:val="en-GB"/>
        </w:rPr>
        <w:t>the</w:t>
      </w:r>
      <w:r w:rsidR="00F53DA8">
        <w:rPr>
          <w:lang w:val="en-GB"/>
        </w:rPr>
        <w:t xml:space="preserve"> </w:t>
      </w:r>
      <w:r w:rsidR="00D67D79">
        <w:rPr>
          <w:lang w:val="en-GB"/>
        </w:rPr>
        <w:t>interpretation of</w:t>
      </w:r>
      <w:r w:rsidR="00316E3F">
        <w:rPr>
          <w:lang w:val="en-GB"/>
        </w:rPr>
        <w:t xml:space="preserve"> linked</w:t>
      </w:r>
      <w:r>
        <w:rPr>
          <w:lang w:val="en-GB"/>
        </w:rPr>
        <w:t xml:space="preserve"> </w:t>
      </w:r>
      <w:r w:rsidR="00F53DA8">
        <w:rPr>
          <w:lang w:val="en-GB"/>
        </w:rPr>
        <w:t xml:space="preserve">injury </w:t>
      </w:r>
      <w:r>
        <w:rPr>
          <w:lang w:val="en-GB"/>
        </w:rPr>
        <w:t>data from pri</w:t>
      </w:r>
      <w:r w:rsidR="00F53DA8">
        <w:rPr>
          <w:lang w:val="en-GB"/>
        </w:rPr>
        <w:t>mary and s</w:t>
      </w:r>
      <w:r w:rsidR="00F66AAF">
        <w:rPr>
          <w:lang w:val="en-GB"/>
        </w:rPr>
        <w:t>econdary</w:t>
      </w:r>
      <w:r w:rsidR="00F53DA8">
        <w:rPr>
          <w:lang w:val="en-GB"/>
        </w:rPr>
        <w:t xml:space="preserve"> care </w:t>
      </w:r>
      <w:proofErr w:type="gramStart"/>
      <w:r w:rsidR="00F53DA8">
        <w:rPr>
          <w:lang w:val="en-GB"/>
        </w:rPr>
        <w:t xml:space="preserve">is </w:t>
      </w:r>
      <w:r w:rsidR="00D67D79">
        <w:rPr>
          <w:lang w:val="en-GB"/>
        </w:rPr>
        <w:t>complicated</w:t>
      </w:r>
      <w:proofErr w:type="gramEnd"/>
      <w:r w:rsidR="00D67D79">
        <w:rPr>
          <w:lang w:val="en-GB"/>
        </w:rPr>
        <w:t xml:space="preserve"> by </w:t>
      </w:r>
      <w:r w:rsidR="00F53DA8">
        <w:rPr>
          <w:lang w:val="en-GB"/>
        </w:rPr>
        <w:t>the use of different classification systems for coding</w:t>
      </w:r>
      <w:r w:rsidR="001B151B">
        <w:rPr>
          <w:lang w:val="en-GB"/>
        </w:rPr>
        <w:t xml:space="preserve"> </w:t>
      </w:r>
      <w:r w:rsidR="005D57AB">
        <w:rPr>
          <w:lang w:val="en-GB"/>
        </w:rPr>
        <w:t>[</w:t>
      </w:r>
      <w:r w:rsidR="00B33DD5">
        <w:rPr>
          <w:lang w:val="en-GB"/>
        </w:rPr>
        <w:t>34</w:t>
      </w:r>
      <w:r w:rsidR="005D57AB">
        <w:rPr>
          <w:lang w:val="en-GB"/>
        </w:rPr>
        <w:t>]</w:t>
      </w:r>
      <w:r w:rsidR="00F53DA8">
        <w:rPr>
          <w:lang w:val="en-GB"/>
        </w:rPr>
        <w:t xml:space="preserve">. These classification systems differ in detail, </w:t>
      </w:r>
      <w:r w:rsidR="00F53DA8">
        <w:rPr>
          <w:lang w:val="en-GB"/>
        </w:rPr>
        <w:lastRenderedPageBreak/>
        <w:t xml:space="preserve">as one ICPC code </w:t>
      </w:r>
      <w:r w:rsidR="004C7FA5">
        <w:rPr>
          <w:lang w:val="en-GB"/>
        </w:rPr>
        <w:t xml:space="preserve">will </w:t>
      </w:r>
      <w:r w:rsidR="00F53DA8">
        <w:rPr>
          <w:lang w:val="en-GB"/>
        </w:rPr>
        <w:t xml:space="preserve">typically correspond to multiple codes in the ICD taxonomy. </w:t>
      </w:r>
      <w:r w:rsidR="00C47D2A">
        <w:rPr>
          <w:lang w:val="en-GB"/>
        </w:rPr>
        <w:t xml:space="preserve">For instance, </w:t>
      </w:r>
      <w:r w:rsidR="001B151B">
        <w:rPr>
          <w:lang w:val="en-GB"/>
        </w:rPr>
        <w:t>ICPC-2 code L74 includes fractures in both hand and foot and correspond</w:t>
      </w:r>
      <w:r w:rsidR="00A46687">
        <w:rPr>
          <w:lang w:val="en-GB"/>
        </w:rPr>
        <w:t>s</w:t>
      </w:r>
      <w:r w:rsidR="001B151B">
        <w:rPr>
          <w:lang w:val="en-GB"/>
        </w:rPr>
        <w:t xml:space="preserve"> to two separate 3-digit ICD-10 codes (S62 and S92). This discrepancy presents many challenges when inte</w:t>
      </w:r>
      <w:r w:rsidR="004F67CE">
        <w:rPr>
          <w:lang w:val="en-GB"/>
        </w:rPr>
        <w:t>rpreting linked data, for instance</w:t>
      </w:r>
      <w:r w:rsidR="001B151B">
        <w:rPr>
          <w:lang w:val="en-GB"/>
        </w:rPr>
        <w:t xml:space="preserve"> when trying to</w:t>
      </w:r>
      <w:r w:rsidR="00466877">
        <w:rPr>
          <w:lang w:val="en-GB"/>
        </w:rPr>
        <w:t xml:space="preserve"> determine whether patients attending both primary and s</w:t>
      </w:r>
      <w:r w:rsidR="00F66AAF">
        <w:rPr>
          <w:lang w:val="en-GB"/>
        </w:rPr>
        <w:t>econdary</w:t>
      </w:r>
      <w:r w:rsidR="00466877">
        <w:rPr>
          <w:lang w:val="en-GB"/>
        </w:rPr>
        <w:t xml:space="preserve"> care undergo treatment for the same or separate injuries.</w:t>
      </w:r>
      <w:r w:rsidR="00C47D2A">
        <w:rPr>
          <w:lang w:val="en-GB"/>
        </w:rPr>
        <w:t xml:space="preserve"> While </w:t>
      </w:r>
      <w:r w:rsidR="004C7FA5">
        <w:rPr>
          <w:lang w:val="en-GB"/>
        </w:rPr>
        <w:t>dates</w:t>
      </w:r>
      <w:r w:rsidR="00C47D2A">
        <w:rPr>
          <w:lang w:val="en-GB"/>
        </w:rPr>
        <w:t xml:space="preserve"> can </w:t>
      </w:r>
      <w:r w:rsidR="004C7FA5">
        <w:rPr>
          <w:lang w:val="en-GB"/>
        </w:rPr>
        <w:t>help clarify</w:t>
      </w:r>
      <w:r w:rsidR="00C47D2A">
        <w:rPr>
          <w:lang w:val="en-GB"/>
        </w:rPr>
        <w:t xml:space="preserve"> such cases, in the absen</w:t>
      </w:r>
      <w:r w:rsidR="00466877">
        <w:rPr>
          <w:lang w:val="en-GB"/>
        </w:rPr>
        <w:t>ce of more detailed information</w:t>
      </w:r>
      <w:r w:rsidR="00C47D2A">
        <w:rPr>
          <w:lang w:val="en-GB"/>
        </w:rPr>
        <w:t xml:space="preserve"> (e.g., medical records) there will always be room for error in interpretation. We </w:t>
      </w:r>
      <w:r w:rsidR="00316E3F">
        <w:rPr>
          <w:lang w:val="en-GB"/>
        </w:rPr>
        <w:t xml:space="preserve">therefore </w:t>
      </w:r>
      <w:r w:rsidR="00C47D2A">
        <w:rPr>
          <w:lang w:val="en-GB"/>
        </w:rPr>
        <w:t xml:space="preserve">view this study as a first attempt </w:t>
      </w:r>
      <w:r w:rsidR="004C7FA5">
        <w:rPr>
          <w:lang w:val="en-GB"/>
        </w:rPr>
        <w:t>to</w:t>
      </w:r>
      <w:r w:rsidR="00C47D2A">
        <w:rPr>
          <w:lang w:val="en-GB"/>
        </w:rPr>
        <w:t xml:space="preserve"> map th</w:t>
      </w:r>
      <w:r w:rsidR="00316E3F">
        <w:rPr>
          <w:lang w:val="en-GB"/>
        </w:rPr>
        <w:t xml:space="preserve">ese two classification systems, and call on future research to decipher these linked </w:t>
      </w:r>
      <w:r w:rsidR="00C02BA4">
        <w:rPr>
          <w:lang w:val="en-GB"/>
        </w:rPr>
        <w:t xml:space="preserve">injury </w:t>
      </w:r>
      <w:r w:rsidR="00660E25">
        <w:rPr>
          <w:lang w:val="en-GB"/>
        </w:rPr>
        <w:t>data in more detail</w:t>
      </w:r>
      <w:r w:rsidR="00316E3F">
        <w:rPr>
          <w:lang w:val="en-GB"/>
        </w:rPr>
        <w:t>.</w:t>
      </w:r>
      <w:r w:rsidR="00C47D2A">
        <w:rPr>
          <w:lang w:val="en-GB"/>
        </w:rPr>
        <w:t xml:space="preserve"> </w:t>
      </w:r>
      <w:r>
        <w:rPr>
          <w:lang w:val="en-GB"/>
        </w:rPr>
        <w:t xml:space="preserve"> </w:t>
      </w:r>
    </w:p>
    <w:p w14:paraId="6E840944" w14:textId="167412D1" w:rsidR="00FD492C" w:rsidRPr="009104DC" w:rsidRDefault="00FD492C" w:rsidP="006D1E71">
      <w:pPr>
        <w:rPr>
          <w:lang w:val="en-GB"/>
        </w:rPr>
      </w:pPr>
      <w:r w:rsidRPr="0027655A">
        <w:rPr>
          <w:b/>
          <w:lang w:val="en-GB"/>
        </w:rPr>
        <w:t>CONCLUSIONS</w:t>
      </w:r>
    </w:p>
    <w:p w14:paraId="395CAC5E" w14:textId="01930C23" w:rsidR="005177D6" w:rsidRDefault="00E1476E" w:rsidP="006D1E71">
      <w:pPr>
        <w:rPr>
          <w:lang w:val="en-GB"/>
        </w:rPr>
      </w:pPr>
      <w:r>
        <w:rPr>
          <w:lang w:val="en-GB"/>
        </w:rPr>
        <w:t>By linking data from primary and s</w:t>
      </w:r>
      <w:r w:rsidR="00F66AAF">
        <w:rPr>
          <w:lang w:val="en-GB"/>
        </w:rPr>
        <w:t>econdary</w:t>
      </w:r>
      <w:r>
        <w:rPr>
          <w:lang w:val="en-GB"/>
        </w:rPr>
        <w:t xml:space="preserve"> care, w</w:t>
      </w:r>
      <w:r w:rsidR="00905540">
        <w:rPr>
          <w:lang w:val="en-GB"/>
        </w:rPr>
        <w:t>e found that t</w:t>
      </w:r>
      <w:r w:rsidR="00F92911">
        <w:rPr>
          <w:lang w:val="en-GB"/>
        </w:rPr>
        <w:t xml:space="preserve">he </w:t>
      </w:r>
      <w:r w:rsidR="00D149AB">
        <w:rPr>
          <w:lang w:val="en-GB"/>
        </w:rPr>
        <w:t xml:space="preserve">annual </w:t>
      </w:r>
      <w:r w:rsidR="00F92911">
        <w:rPr>
          <w:lang w:val="en-GB"/>
        </w:rPr>
        <w:t>incidence of medically trea</w:t>
      </w:r>
      <w:r>
        <w:rPr>
          <w:lang w:val="en-GB"/>
        </w:rPr>
        <w:t>ted injuries in Norway was 125</w:t>
      </w:r>
      <w:r w:rsidR="00F92911">
        <w:rPr>
          <w:lang w:val="en-GB"/>
        </w:rPr>
        <w:t xml:space="preserve"> patients per 1000 inhabitants. </w:t>
      </w:r>
      <w:r w:rsidR="00D149AB">
        <w:rPr>
          <w:lang w:val="en-GB"/>
        </w:rPr>
        <w:t xml:space="preserve">Over half of this population </w:t>
      </w:r>
      <w:r w:rsidR="004B6314">
        <w:rPr>
          <w:lang w:val="en-GB"/>
        </w:rPr>
        <w:t>received treatment for</w:t>
      </w:r>
      <w:r w:rsidR="00D149AB">
        <w:rPr>
          <w:lang w:val="en-GB"/>
        </w:rPr>
        <w:t xml:space="preserve"> injury </w:t>
      </w:r>
      <w:r w:rsidR="00E95111">
        <w:rPr>
          <w:lang w:val="en-GB"/>
        </w:rPr>
        <w:t xml:space="preserve">exclusively in primary care. </w:t>
      </w:r>
      <w:r w:rsidR="00D149AB">
        <w:rPr>
          <w:lang w:val="en-GB"/>
        </w:rPr>
        <w:t>In addition, we found that the demographic profile differed</w:t>
      </w:r>
      <w:r w:rsidR="00290F7E">
        <w:rPr>
          <w:lang w:val="en-GB"/>
        </w:rPr>
        <w:t xml:space="preserve"> between patients in primary and </w:t>
      </w:r>
      <w:r>
        <w:rPr>
          <w:lang w:val="en-GB"/>
        </w:rPr>
        <w:t>s</w:t>
      </w:r>
      <w:r w:rsidR="00F66AAF">
        <w:rPr>
          <w:lang w:val="en-GB"/>
        </w:rPr>
        <w:t>econdary</w:t>
      </w:r>
      <w:r>
        <w:rPr>
          <w:lang w:val="en-GB"/>
        </w:rPr>
        <w:t xml:space="preserve"> care. </w:t>
      </w:r>
      <w:r w:rsidR="008E41C7">
        <w:rPr>
          <w:lang w:val="en-GB"/>
        </w:rPr>
        <w:t>Finally, w</w:t>
      </w:r>
      <w:r>
        <w:rPr>
          <w:lang w:val="en-GB"/>
        </w:rPr>
        <w:t>ith the exception of fractures, all injury categories</w:t>
      </w:r>
      <w:r w:rsidR="00A0352C">
        <w:rPr>
          <w:lang w:val="en-GB"/>
        </w:rPr>
        <w:t xml:space="preserve"> </w:t>
      </w:r>
      <w:proofErr w:type="gramStart"/>
      <w:r w:rsidR="00A0352C">
        <w:rPr>
          <w:lang w:val="en-GB"/>
        </w:rPr>
        <w:t>were predom</w:t>
      </w:r>
      <w:r>
        <w:rPr>
          <w:lang w:val="en-GB"/>
        </w:rPr>
        <w:t>inantly treated</w:t>
      </w:r>
      <w:proofErr w:type="gramEnd"/>
      <w:r>
        <w:rPr>
          <w:lang w:val="en-GB"/>
        </w:rPr>
        <w:t xml:space="preserve"> in primary care</w:t>
      </w:r>
      <w:r w:rsidR="00A0352C">
        <w:rPr>
          <w:lang w:val="en-GB"/>
        </w:rPr>
        <w:t xml:space="preserve">.   </w:t>
      </w:r>
      <w:r w:rsidR="00E95111">
        <w:rPr>
          <w:lang w:val="en-GB"/>
        </w:rPr>
        <w:t xml:space="preserve"> </w:t>
      </w:r>
    </w:p>
    <w:p w14:paraId="6B116722" w14:textId="77777777" w:rsidR="00290F7E" w:rsidRDefault="00290F7E" w:rsidP="006D1E71">
      <w:pPr>
        <w:rPr>
          <w:lang w:val="en-GB"/>
        </w:rPr>
      </w:pPr>
    </w:p>
    <w:p w14:paraId="34AAC8E1" w14:textId="77777777" w:rsidR="000E2C04" w:rsidRDefault="000E2C04">
      <w:pPr>
        <w:rPr>
          <w:b/>
          <w:lang w:val="en-GB"/>
        </w:rPr>
      </w:pPr>
      <w:r>
        <w:rPr>
          <w:b/>
          <w:lang w:val="en-GB"/>
        </w:rPr>
        <w:br w:type="page"/>
      </w:r>
    </w:p>
    <w:p w14:paraId="1A1A5DA8" w14:textId="58EBF0FD" w:rsidR="00FD492C" w:rsidRPr="0027655A" w:rsidRDefault="00FD492C" w:rsidP="006D1E71">
      <w:pPr>
        <w:rPr>
          <w:b/>
          <w:lang w:val="en-GB"/>
        </w:rPr>
      </w:pPr>
      <w:r w:rsidRPr="0027655A">
        <w:rPr>
          <w:b/>
          <w:lang w:val="en-GB"/>
        </w:rPr>
        <w:lastRenderedPageBreak/>
        <w:t>ACKNOWLEDG</w:t>
      </w:r>
      <w:r w:rsidR="009006FA">
        <w:rPr>
          <w:b/>
          <w:lang w:val="en-GB"/>
        </w:rPr>
        <w:t>E</w:t>
      </w:r>
      <w:r w:rsidRPr="0027655A">
        <w:rPr>
          <w:b/>
          <w:lang w:val="en-GB"/>
        </w:rPr>
        <w:t>MENTS</w:t>
      </w:r>
    </w:p>
    <w:p w14:paraId="2C69400C" w14:textId="3B321FFE" w:rsidR="00FB0724" w:rsidRDefault="00E1476E" w:rsidP="002E3C7D">
      <w:pPr>
        <w:rPr>
          <w:lang w:val="en-GB"/>
        </w:rPr>
      </w:pPr>
      <w:r>
        <w:rPr>
          <w:lang w:val="en-GB"/>
        </w:rPr>
        <w:t>We thank Else Karin Grøholt for her</w:t>
      </w:r>
      <w:r w:rsidR="005177D6">
        <w:rPr>
          <w:lang w:val="en-GB"/>
        </w:rPr>
        <w:t xml:space="preserve"> support and helpful comments on the work reported in this manuscript</w:t>
      </w:r>
      <w:r w:rsidR="009F0113">
        <w:rPr>
          <w:lang w:val="en-GB"/>
        </w:rPr>
        <w:t>, and Julie Whittle Johansen for language editing</w:t>
      </w:r>
      <w:r w:rsidR="005177D6">
        <w:rPr>
          <w:lang w:val="en-GB"/>
        </w:rPr>
        <w:t>.</w:t>
      </w:r>
    </w:p>
    <w:p w14:paraId="667FED23" w14:textId="20B1A5BE" w:rsidR="003155F3" w:rsidRDefault="003155F3" w:rsidP="00B81A74">
      <w:pPr>
        <w:spacing w:line="360" w:lineRule="auto"/>
        <w:rPr>
          <w:lang w:val="en-GB"/>
        </w:rPr>
      </w:pPr>
    </w:p>
    <w:p w14:paraId="05842382" w14:textId="01455DC8" w:rsidR="00D30F50" w:rsidRPr="0027655A" w:rsidRDefault="00C631C3" w:rsidP="00B81A74">
      <w:pPr>
        <w:spacing w:line="360" w:lineRule="auto"/>
        <w:rPr>
          <w:b/>
          <w:lang w:val="en-GB"/>
        </w:rPr>
      </w:pPr>
      <w:r w:rsidRPr="0027655A">
        <w:rPr>
          <w:b/>
          <w:lang w:val="en-GB"/>
        </w:rPr>
        <w:t>DECL</w:t>
      </w:r>
      <w:r w:rsidR="002071E8">
        <w:rPr>
          <w:b/>
          <w:lang w:val="en-GB"/>
        </w:rPr>
        <w:t>A</w:t>
      </w:r>
      <w:r w:rsidRPr="0027655A">
        <w:rPr>
          <w:b/>
          <w:lang w:val="en-GB"/>
        </w:rPr>
        <w:t>RATION OF CONFLICTING INTEREST</w:t>
      </w:r>
    </w:p>
    <w:p w14:paraId="2E290AC8" w14:textId="2CF8DC94" w:rsidR="00C631C3" w:rsidRDefault="00C631C3" w:rsidP="00B81A74">
      <w:pPr>
        <w:spacing w:line="360" w:lineRule="auto"/>
        <w:rPr>
          <w:lang w:val="en-GB"/>
        </w:rPr>
      </w:pPr>
      <w:r>
        <w:rPr>
          <w:lang w:val="en-GB"/>
        </w:rPr>
        <w:t xml:space="preserve">The Authors declare that there is no conflict of interest. </w:t>
      </w:r>
    </w:p>
    <w:p w14:paraId="79E490CE" w14:textId="77777777" w:rsidR="00E1476E" w:rsidRDefault="00E1476E" w:rsidP="00B81A74">
      <w:pPr>
        <w:spacing w:line="360" w:lineRule="auto"/>
        <w:rPr>
          <w:b/>
          <w:lang w:val="en-GB"/>
        </w:rPr>
      </w:pPr>
    </w:p>
    <w:p w14:paraId="6232DA5A" w14:textId="2AA2DB6C" w:rsidR="00C631C3" w:rsidRPr="0027655A" w:rsidRDefault="00C631C3" w:rsidP="00B81A74">
      <w:pPr>
        <w:spacing w:line="360" w:lineRule="auto"/>
        <w:rPr>
          <w:b/>
          <w:lang w:val="en-GB"/>
        </w:rPr>
      </w:pPr>
      <w:r w:rsidRPr="0027655A">
        <w:rPr>
          <w:b/>
          <w:lang w:val="en-GB"/>
        </w:rPr>
        <w:t>FUNDING</w:t>
      </w:r>
    </w:p>
    <w:p w14:paraId="53EF9E90" w14:textId="310E4874" w:rsidR="00C631C3" w:rsidRDefault="00C631C3" w:rsidP="00B81A74">
      <w:pPr>
        <w:spacing w:line="360" w:lineRule="auto"/>
        <w:rPr>
          <w:lang w:val="en-GB"/>
        </w:rPr>
      </w:pPr>
      <w:r>
        <w:rPr>
          <w:lang w:val="en-GB"/>
        </w:rPr>
        <w:t xml:space="preserve">This research </w:t>
      </w:r>
      <w:proofErr w:type="gramStart"/>
      <w:r>
        <w:rPr>
          <w:lang w:val="en-GB"/>
        </w:rPr>
        <w:t>was internally funded</w:t>
      </w:r>
      <w:proofErr w:type="gramEnd"/>
      <w:r>
        <w:rPr>
          <w:lang w:val="en-GB"/>
        </w:rPr>
        <w:t xml:space="preserve"> and received no specific grant from any funding agency in the public, commercial, or not-for-profit sectors.</w:t>
      </w:r>
    </w:p>
    <w:p w14:paraId="563067B6" w14:textId="77777777" w:rsidR="00F123E2" w:rsidRDefault="00F123E2" w:rsidP="00B81A74">
      <w:pPr>
        <w:spacing w:line="360" w:lineRule="auto"/>
        <w:rPr>
          <w:lang w:val="en-GB"/>
        </w:rPr>
      </w:pPr>
    </w:p>
    <w:p w14:paraId="76DE9E71" w14:textId="764282FB" w:rsidR="00F123E2" w:rsidRPr="0027655A" w:rsidRDefault="00F123E2" w:rsidP="00B81A74">
      <w:pPr>
        <w:spacing w:line="360" w:lineRule="auto"/>
        <w:rPr>
          <w:b/>
          <w:lang w:val="en-GB"/>
        </w:rPr>
      </w:pPr>
      <w:r w:rsidRPr="0027655A">
        <w:rPr>
          <w:b/>
          <w:lang w:val="en-GB"/>
        </w:rPr>
        <w:t>DISCLAIMER</w:t>
      </w:r>
    </w:p>
    <w:p w14:paraId="55714A76" w14:textId="6FBB59EA" w:rsidR="00F123E2" w:rsidRDefault="00F123E2" w:rsidP="00B81A74">
      <w:pPr>
        <w:spacing w:line="360" w:lineRule="auto"/>
        <w:rPr>
          <w:lang w:val="en-GB"/>
        </w:rPr>
      </w:pPr>
      <w:r>
        <w:rPr>
          <w:lang w:val="en-GB"/>
        </w:rPr>
        <w:t xml:space="preserve">Data from the Norwegian Patient Register </w:t>
      </w:r>
      <w:proofErr w:type="gramStart"/>
      <w:r>
        <w:rPr>
          <w:lang w:val="en-GB"/>
        </w:rPr>
        <w:t>ha</w:t>
      </w:r>
      <w:r w:rsidR="002071E8">
        <w:rPr>
          <w:lang w:val="en-GB"/>
        </w:rPr>
        <w:t>ve</w:t>
      </w:r>
      <w:r>
        <w:rPr>
          <w:lang w:val="en-GB"/>
        </w:rPr>
        <w:t xml:space="preserve"> been used</w:t>
      </w:r>
      <w:proofErr w:type="gramEnd"/>
      <w:r>
        <w:rPr>
          <w:lang w:val="en-GB"/>
        </w:rPr>
        <w:t xml:space="preserve"> in this publication. The interpretation and reporting of these data are the sole responsibility of the authors, and no endorsement by the Norwegian </w:t>
      </w:r>
      <w:r w:rsidR="002071E8">
        <w:rPr>
          <w:lang w:val="en-GB"/>
        </w:rPr>
        <w:t>P</w:t>
      </w:r>
      <w:r>
        <w:rPr>
          <w:lang w:val="en-GB"/>
        </w:rPr>
        <w:t xml:space="preserve">atient </w:t>
      </w:r>
      <w:r w:rsidR="002071E8">
        <w:rPr>
          <w:lang w:val="en-GB"/>
        </w:rPr>
        <w:t>R</w:t>
      </w:r>
      <w:r>
        <w:rPr>
          <w:lang w:val="en-GB"/>
        </w:rPr>
        <w:t xml:space="preserve">egister </w:t>
      </w:r>
      <w:proofErr w:type="gramStart"/>
      <w:r>
        <w:rPr>
          <w:lang w:val="en-GB"/>
        </w:rPr>
        <w:t>is intended</w:t>
      </w:r>
      <w:proofErr w:type="gramEnd"/>
      <w:r>
        <w:rPr>
          <w:lang w:val="en-GB"/>
        </w:rPr>
        <w:t xml:space="preserve"> or should be inferred. </w:t>
      </w:r>
    </w:p>
    <w:p w14:paraId="3952F045" w14:textId="77777777" w:rsidR="00D30F50" w:rsidRDefault="00D30F50" w:rsidP="00B81A74">
      <w:pPr>
        <w:spacing w:line="360" w:lineRule="auto"/>
        <w:rPr>
          <w:lang w:val="en-GB"/>
        </w:rPr>
      </w:pPr>
    </w:p>
    <w:p w14:paraId="5C542391" w14:textId="77777777" w:rsidR="00A66994" w:rsidRDefault="00A66994" w:rsidP="00B81A74">
      <w:pPr>
        <w:spacing w:line="360" w:lineRule="auto"/>
        <w:rPr>
          <w:lang w:val="en-GB"/>
        </w:rPr>
      </w:pPr>
    </w:p>
    <w:p w14:paraId="53261FCC" w14:textId="77777777" w:rsidR="00A66994" w:rsidRDefault="00A66994" w:rsidP="00B81A74">
      <w:pPr>
        <w:spacing w:line="360" w:lineRule="auto"/>
        <w:rPr>
          <w:lang w:val="en-GB"/>
        </w:rPr>
      </w:pPr>
    </w:p>
    <w:p w14:paraId="3282DCA0" w14:textId="77777777" w:rsidR="00E813FE" w:rsidRDefault="00E813FE" w:rsidP="00B81A74">
      <w:pPr>
        <w:spacing w:line="360" w:lineRule="auto"/>
        <w:rPr>
          <w:lang w:val="en-GB"/>
        </w:rPr>
      </w:pPr>
    </w:p>
    <w:p w14:paraId="6156A669" w14:textId="77777777" w:rsidR="00E813FE" w:rsidRDefault="00E813FE" w:rsidP="00B81A74">
      <w:pPr>
        <w:spacing w:line="360" w:lineRule="auto"/>
        <w:rPr>
          <w:lang w:val="en-GB"/>
        </w:rPr>
      </w:pPr>
    </w:p>
    <w:p w14:paraId="543B0480" w14:textId="77777777" w:rsidR="00E813FE" w:rsidRDefault="00E813FE" w:rsidP="00B81A74">
      <w:pPr>
        <w:spacing w:line="360" w:lineRule="auto"/>
        <w:rPr>
          <w:lang w:val="en-GB"/>
        </w:rPr>
      </w:pPr>
    </w:p>
    <w:p w14:paraId="77289417" w14:textId="77777777" w:rsidR="00E813FE" w:rsidRDefault="00E813FE" w:rsidP="00B81A74">
      <w:pPr>
        <w:spacing w:line="360" w:lineRule="auto"/>
        <w:rPr>
          <w:lang w:val="en-GB"/>
        </w:rPr>
      </w:pPr>
    </w:p>
    <w:p w14:paraId="6AC61E47" w14:textId="77777777" w:rsidR="00E813FE" w:rsidRDefault="00E813FE" w:rsidP="00B81A74">
      <w:pPr>
        <w:spacing w:line="360" w:lineRule="auto"/>
        <w:rPr>
          <w:lang w:val="en-GB"/>
        </w:rPr>
      </w:pPr>
    </w:p>
    <w:p w14:paraId="4D848799" w14:textId="77777777" w:rsidR="00E813FE" w:rsidRDefault="00E813FE" w:rsidP="00B81A74">
      <w:pPr>
        <w:spacing w:line="360" w:lineRule="auto"/>
        <w:rPr>
          <w:lang w:val="en-GB"/>
        </w:rPr>
      </w:pPr>
    </w:p>
    <w:p w14:paraId="5839A36C" w14:textId="77777777" w:rsidR="005177D6" w:rsidRDefault="005177D6" w:rsidP="005F26D4">
      <w:pPr>
        <w:rPr>
          <w:lang w:val="en-GB"/>
        </w:rPr>
      </w:pPr>
    </w:p>
    <w:p w14:paraId="2D951DC9" w14:textId="2C502E6D" w:rsidR="00D30F50" w:rsidRPr="0027655A" w:rsidRDefault="005F26D4" w:rsidP="005F26D4">
      <w:pPr>
        <w:rPr>
          <w:b/>
          <w:lang w:val="en-GB"/>
        </w:rPr>
      </w:pPr>
      <w:r w:rsidRPr="0027655A">
        <w:rPr>
          <w:b/>
          <w:lang w:val="en-GB"/>
        </w:rPr>
        <w:lastRenderedPageBreak/>
        <w:t>REFERENCES</w:t>
      </w:r>
    </w:p>
    <w:p w14:paraId="0E9B5715" w14:textId="11F4A124" w:rsidR="003A289D" w:rsidRPr="00C24B16" w:rsidRDefault="003A289D" w:rsidP="003A289D">
      <w:pPr>
        <w:spacing w:line="360" w:lineRule="auto"/>
        <w:rPr>
          <w:lang w:val="en-GB"/>
        </w:rPr>
      </w:pPr>
      <w:r>
        <w:rPr>
          <w:lang w:val="en-GB"/>
        </w:rPr>
        <w:t>[1] World Health Organisation</w:t>
      </w:r>
      <w:r w:rsidRPr="00C24B16">
        <w:rPr>
          <w:lang w:val="en-GB"/>
        </w:rPr>
        <w:t xml:space="preserve">. </w:t>
      </w:r>
      <w:r w:rsidRPr="00C24B16">
        <w:rPr>
          <w:i/>
          <w:lang w:val="en-GB"/>
        </w:rPr>
        <w:t>Injuries and violence: The facts</w:t>
      </w:r>
      <w:r w:rsidRPr="00C24B16">
        <w:rPr>
          <w:lang w:val="en-GB"/>
        </w:rPr>
        <w:t>. Geneva: World Health Organization</w:t>
      </w:r>
      <w:r>
        <w:rPr>
          <w:lang w:val="en-GB"/>
        </w:rPr>
        <w:t>, 2014</w:t>
      </w:r>
      <w:r w:rsidRPr="00C24B16">
        <w:rPr>
          <w:lang w:val="en-GB"/>
        </w:rPr>
        <w:t xml:space="preserve">. </w:t>
      </w:r>
    </w:p>
    <w:p w14:paraId="2FFAAF60" w14:textId="6AE5F628" w:rsidR="003A289D" w:rsidRDefault="00440D89" w:rsidP="00605B7F">
      <w:pPr>
        <w:spacing w:line="360" w:lineRule="auto"/>
        <w:rPr>
          <w:lang w:val="en-GB"/>
        </w:rPr>
      </w:pPr>
      <w:r>
        <w:rPr>
          <w:lang w:val="en-GB"/>
        </w:rPr>
        <w:t xml:space="preserve">[2] Global Burden of Disease Study 2013 Collaborators. Global, regional, and national incidence, prevalence, and years lived with disability for 301 acute and chronic diseases and injuries in 188 countries, 1990-2013: a systematic analysis for the Global Burden of Disease Study 2013. </w:t>
      </w:r>
      <w:r w:rsidRPr="009C54C2">
        <w:rPr>
          <w:i/>
          <w:lang w:val="en-GB"/>
        </w:rPr>
        <w:t>Lancet</w:t>
      </w:r>
      <w:r w:rsidR="009C54C2">
        <w:rPr>
          <w:lang w:val="en-GB"/>
        </w:rPr>
        <w:t xml:space="preserve"> 2015;</w:t>
      </w:r>
      <w:r>
        <w:rPr>
          <w:lang w:val="en-GB"/>
        </w:rPr>
        <w:t xml:space="preserve"> </w:t>
      </w:r>
      <w:r w:rsidR="009C54C2">
        <w:rPr>
          <w:lang w:val="en-GB"/>
        </w:rPr>
        <w:t xml:space="preserve">386: 743-800. </w:t>
      </w:r>
    </w:p>
    <w:p w14:paraId="2AE15379" w14:textId="3C5D4163" w:rsidR="009C54C2" w:rsidRPr="00A45745" w:rsidRDefault="009C54C2" w:rsidP="009C54C2">
      <w:pPr>
        <w:spacing w:line="360" w:lineRule="auto"/>
      </w:pPr>
      <w:r w:rsidRPr="00A45745">
        <w:rPr>
          <w:lang w:val="en-GB"/>
        </w:rPr>
        <w:t xml:space="preserve">[3] </w:t>
      </w:r>
      <w:proofErr w:type="spellStart"/>
      <w:r w:rsidRPr="00A45745">
        <w:rPr>
          <w:lang w:val="en-GB"/>
        </w:rPr>
        <w:t>Haagsma</w:t>
      </w:r>
      <w:proofErr w:type="spellEnd"/>
      <w:r w:rsidRPr="00A45745">
        <w:rPr>
          <w:lang w:val="en-GB"/>
        </w:rPr>
        <w:t xml:space="preserve"> JA, </w:t>
      </w:r>
      <w:proofErr w:type="spellStart"/>
      <w:r w:rsidRPr="00A45745">
        <w:rPr>
          <w:lang w:val="en-GB"/>
        </w:rPr>
        <w:t>Graetz</w:t>
      </w:r>
      <w:proofErr w:type="spellEnd"/>
      <w:r w:rsidRPr="00A45745">
        <w:rPr>
          <w:lang w:val="en-GB"/>
        </w:rPr>
        <w:t xml:space="preserve"> N, </w:t>
      </w:r>
      <w:proofErr w:type="spellStart"/>
      <w:r w:rsidRPr="00A45745">
        <w:rPr>
          <w:lang w:val="en-GB"/>
        </w:rPr>
        <w:t>Bolliger</w:t>
      </w:r>
      <w:proofErr w:type="spellEnd"/>
      <w:r w:rsidRPr="00A45745">
        <w:rPr>
          <w:lang w:val="en-GB"/>
        </w:rPr>
        <w:t xml:space="preserve"> I, et al. </w:t>
      </w:r>
      <w:r w:rsidRPr="001642AA">
        <w:rPr>
          <w:lang w:val="en-GB"/>
        </w:rPr>
        <w:t xml:space="preserve">The global burden of injury: </w:t>
      </w:r>
      <w:r>
        <w:rPr>
          <w:lang w:val="en-GB"/>
        </w:rPr>
        <w:t xml:space="preserve">incidence, mortality, disability-adjusted life years and time trends from the Global Burden of Disease study 2013. </w:t>
      </w:r>
      <w:proofErr w:type="spellStart"/>
      <w:r w:rsidRPr="00A45745">
        <w:rPr>
          <w:i/>
        </w:rPr>
        <w:t>Inj</w:t>
      </w:r>
      <w:proofErr w:type="spellEnd"/>
      <w:r w:rsidRPr="00A45745">
        <w:rPr>
          <w:i/>
        </w:rPr>
        <w:t xml:space="preserve"> </w:t>
      </w:r>
      <w:proofErr w:type="spellStart"/>
      <w:r w:rsidRPr="00A45745">
        <w:rPr>
          <w:i/>
        </w:rPr>
        <w:t>Prev</w:t>
      </w:r>
      <w:proofErr w:type="spellEnd"/>
      <w:r w:rsidRPr="00A45745">
        <w:t xml:space="preserve"> 2016; 22: 3-18.</w:t>
      </w:r>
    </w:p>
    <w:p w14:paraId="60A2465C" w14:textId="02AD247B" w:rsidR="009C54C2" w:rsidRDefault="009C54C2" w:rsidP="009C54C2">
      <w:pPr>
        <w:spacing w:line="360" w:lineRule="auto"/>
        <w:rPr>
          <w:lang w:val="en-GB"/>
        </w:rPr>
      </w:pPr>
      <w:r w:rsidRPr="0001283A">
        <w:t xml:space="preserve">[4] </w:t>
      </w:r>
      <w:proofErr w:type="spellStart"/>
      <w:r w:rsidR="0001283A" w:rsidRPr="0001283A">
        <w:t>Polinder</w:t>
      </w:r>
      <w:proofErr w:type="spellEnd"/>
      <w:r w:rsidR="0001283A" w:rsidRPr="0001283A">
        <w:t xml:space="preserve"> S, </w:t>
      </w:r>
      <w:proofErr w:type="spellStart"/>
      <w:r w:rsidR="0001283A" w:rsidRPr="0001283A">
        <w:t>Haagsma</w:t>
      </w:r>
      <w:proofErr w:type="spellEnd"/>
      <w:r w:rsidR="0001283A" w:rsidRPr="0001283A">
        <w:t xml:space="preserve"> JA, </w:t>
      </w:r>
      <w:proofErr w:type="spellStart"/>
      <w:r w:rsidR="0001283A" w:rsidRPr="0001283A">
        <w:t>Panneman</w:t>
      </w:r>
      <w:proofErr w:type="spellEnd"/>
      <w:r w:rsidR="0001283A">
        <w:t xml:space="preserve"> M, et al. </w:t>
      </w:r>
      <w:r w:rsidR="0001283A" w:rsidRPr="0001283A">
        <w:rPr>
          <w:lang w:val="en-GB"/>
        </w:rPr>
        <w:t xml:space="preserve">The economic burden of injury: </w:t>
      </w:r>
      <w:r w:rsidR="0001283A">
        <w:rPr>
          <w:lang w:val="en-GB"/>
        </w:rPr>
        <w:t xml:space="preserve">Health care and productivity costs of injuries in the Netherlands. </w:t>
      </w:r>
      <w:proofErr w:type="spellStart"/>
      <w:r w:rsidR="0001283A" w:rsidRPr="0001283A">
        <w:rPr>
          <w:i/>
          <w:lang w:val="en-GB"/>
        </w:rPr>
        <w:t>Accid</w:t>
      </w:r>
      <w:proofErr w:type="spellEnd"/>
      <w:r w:rsidR="0001283A" w:rsidRPr="0001283A">
        <w:rPr>
          <w:i/>
          <w:lang w:val="en-GB"/>
        </w:rPr>
        <w:t xml:space="preserve"> Anal </w:t>
      </w:r>
      <w:proofErr w:type="spellStart"/>
      <w:r w:rsidR="0001283A" w:rsidRPr="0001283A">
        <w:rPr>
          <w:i/>
          <w:lang w:val="en-GB"/>
        </w:rPr>
        <w:t>Prev</w:t>
      </w:r>
      <w:proofErr w:type="spellEnd"/>
      <w:r w:rsidR="0001283A">
        <w:rPr>
          <w:lang w:val="en-GB"/>
        </w:rPr>
        <w:t xml:space="preserve"> 2016; 93: 92-100.</w:t>
      </w:r>
    </w:p>
    <w:p w14:paraId="475D4765" w14:textId="3E320820" w:rsidR="0001283A" w:rsidRDefault="0001283A" w:rsidP="009C54C2">
      <w:pPr>
        <w:spacing w:line="360" w:lineRule="auto"/>
        <w:rPr>
          <w:lang w:val="en-GB"/>
        </w:rPr>
      </w:pPr>
      <w:r>
        <w:rPr>
          <w:lang w:val="en-GB"/>
        </w:rPr>
        <w:t xml:space="preserve">[5] Williamson S, </w:t>
      </w:r>
      <w:proofErr w:type="spellStart"/>
      <w:r>
        <w:rPr>
          <w:lang w:val="en-GB"/>
        </w:rPr>
        <w:t>Landeiro</w:t>
      </w:r>
      <w:proofErr w:type="spellEnd"/>
      <w:r>
        <w:rPr>
          <w:lang w:val="en-GB"/>
        </w:rPr>
        <w:t xml:space="preserve"> F, McConnell T, et al. Costs of fragility hip fractures globally: a systematic review and meta-regression analysis. </w:t>
      </w:r>
      <w:proofErr w:type="spellStart"/>
      <w:r w:rsidRPr="0001283A">
        <w:rPr>
          <w:i/>
          <w:lang w:val="en-GB"/>
        </w:rPr>
        <w:t>Osteoporos</w:t>
      </w:r>
      <w:proofErr w:type="spellEnd"/>
      <w:r w:rsidRPr="0001283A">
        <w:rPr>
          <w:i/>
          <w:lang w:val="en-GB"/>
        </w:rPr>
        <w:t xml:space="preserve"> </w:t>
      </w:r>
      <w:proofErr w:type="spellStart"/>
      <w:r w:rsidRPr="0001283A">
        <w:rPr>
          <w:i/>
          <w:lang w:val="en-GB"/>
        </w:rPr>
        <w:t>Int</w:t>
      </w:r>
      <w:proofErr w:type="spellEnd"/>
      <w:r>
        <w:rPr>
          <w:lang w:val="en-GB"/>
        </w:rPr>
        <w:t xml:space="preserve"> 2017; 28: 2791-2800.</w:t>
      </w:r>
    </w:p>
    <w:p w14:paraId="311B707E" w14:textId="44610BB8" w:rsidR="001575D2" w:rsidRDefault="0001283A" w:rsidP="001575D2">
      <w:pPr>
        <w:spacing w:line="360" w:lineRule="auto"/>
        <w:rPr>
          <w:lang w:val="en-GB"/>
        </w:rPr>
      </w:pPr>
      <w:r>
        <w:rPr>
          <w:lang w:val="en-GB"/>
        </w:rPr>
        <w:t xml:space="preserve">[6] </w:t>
      </w:r>
      <w:r w:rsidR="001575D2">
        <w:rPr>
          <w:lang w:val="en-GB"/>
        </w:rPr>
        <w:t xml:space="preserve">Langley JD. The need to discontinue the use of the term “accident” when referring to unintentional injury events. </w:t>
      </w:r>
      <w:proofErr w:type="spellStart"/>
      <w:r w:rsidR="001575D2">
        <w:rPr>
          <w:i/>
          <w:lang w:val="en-GB"/>
        </w:rPr>
        <w:t>Accid</w:t>
      </w:r>
      <w:proofErr w:type="spellEnd"/>
      <w:r w:rsidR="001575D2">
        <w:rPr>
          <w:i/>
          <w:lang w:val="en-GB"/>
        </w:rPr>
        <w:t xml:space="preserve"> Anal</w:t>
      </w:r>
      <w:r w:rsidR="001575D2" w:rsidRPr="00B53CE2">
        <w:rPr>
          <w:i/>
          <w:lang w:val="en-GB"/>
        </w:rPr>
        <w:t xml:space="preserve"> </w:t>
      </w:r>
      <w:proofErr w:type="spellStart"/>
      <w:r w:rsidR="001575D2" w:rsidRPr="00B53CE2">
        <w:rPr>
          <w:i/>
          <w:lang w:val="en-GB"/>
        </w:rPr>
        <w:t>Prev</w:t>
      </w:r>
      <w:proofErr w:type="spellEnd"/>
      <w:r w:rsidR="001575D2">
        <w:rPr>
          <w:lang w:val="en-GB"/>
        </w:rPr>
        <w:t xml:space="preserve"> 1988; </w:t>
      </w:r>
      <w:r w:rsidR="001575D2" w:rsidRPr="001575D2">
        <w:rPr>
          <w:lang w:val="en-GB"/>
        </w:rPr>
        <w:t>20</w:t>
      </w:r>
      <w:r w:rsidR="001575D2">
        <w:rPr>
          <w:lang w:val="en-GB"/>
        </w:rPr>
        <w:t>; 1-8.</w:t>
      </w:r>
    </w:p>
    <w:p w14:paraId="4F8D63DD" w14:textId="6E5901E5" w:rsidR="001575D2" w:rsidRDefault="001575D2" w:rsidP="001575D2">
      <w:pPr>
        <w:spacing w:line="360" w:lineRule="auto"/>
        <w:rPr>
          <w:lang w:val="en-GB"/>
        </w:rPr>
      </w:pPr>
      <w:r>
        <w:rPr>
          <w:lang w:val="en-GB"/>
        </w:rPr>
        <w:t xml:space="preserve">[7] Smith GS, </w:t>
      </w:r>
      <w:proofErr w:type="spellStart"/>
      <w:r>
        <w:rPr>
          <w:lang w:val="en-GB"/>
        </w:rPr>
        <w:t>Langlois</w:t>
      </w:r>
      <w:proofErr w:type="spellEnd"/>
      <w:r>
        <w:rPr>
          <w:lang w:val="en-GB"/>
        </w:rPr>
        <w:t xml:space="preserve"> JA and </w:t>
      </w:r>
      <w:proofErr w:type="spellStart"/>
      <w:r>
        <w:rPr>
          <w:lang w:val="en-GB"/>
        </w:rPr>
        <w:t>Buechner</w:t>
      </w:r>
      <w:proofErr w:type="spellEnd"/>
      <w:r>
        <w:rPr>
          <w:lang w:val="en-GB"/>
        </w:rPr>
        <w:t xml:space="preserve"> JS. Methodological issues in using hospital discharge data to determine the incidence of hospitalized injuries. </w:t>
      </w:r>
      <w:r>
        <w:rPr>
          <w:i/>
          <w:lang w:val="en-GB"/>
        </w:rPr>
        <w:t xml:space="preserve">Am J of </w:t>
      </w:r>
      <w:proofErr w:type="spellStart"/>
      <w:r>
        <w:rPr>
          <w:i/>
          <w:lang w:val="en-GB"/>
        </w:rPr>
        <w:t>Epidemiol</w:t>
      </w:r>
      <w:proofErr w:type="spellEnd"/>
      <w:r>
        <w:rPr>
          <w:lang w:val="en-GB"/>
        </w:rPr>
        <w:t xml:space="preserve"> 1991; </w:t>
      </w:r>
      <w:r w:rsidRPr="0001283A">
        <w:rPr>
          <w:lang w:val="en-GB"/>
        </w:rPr>
        <w:t>134</w:t>
      </w:r>
      <w:r>
        <w:rPr>
          <w:lang w:val="en-GB"/>
        </w:rPr>
        <w:t>: 1146-</w:t>
      </w:r>
      <w:proofErr w:type="gramStart"/>
      <w:r>
        <w:rPr>
          <w:lang w:val="en-GB"/>
        </w:rPr>
        <w:t>1158.</w:t>
      </w:r>
      <w:proofErr w:type="gramEnd"/>
    </w:p>
    <w:p w14:paraId="1F98A378" w14:textId="7C44EDA5" w:rsidR="001575D2" w:rsidRDefault="001575D2" w:rsidP="001575D2">
      <w:pPr>
        <w:spacing w:line="360" w:lineRule="auto"/>
        <w:rPr>
          <w:lang w:val="en-GB"/>
        </w:rPr>
      </w:pPr>
      <w:r>
        <w:rPr>
          <w:lang w:val="en-GB"/>
        </w:rPr>
        <w:t xml:space="preserve">[8] </w:t>
      </w:r>
      <w:proofErr w:type="spellStart"/>
      <w:r>
        <w:rPr>
          <w:lang w:val="en-GB"/>
        </w:rPr>
        <w:t>Bijur</w:t>
      </w:r>
      <w:proofErr w:type="spellEnd"/>
      <w:r>
        <w:rPr>
          <w:lang w:val="en-GB"/>
        </w:rPr>
        <w:t xml:space="preserve"> PE</w:t>
      </w:r>
      <w:r w:rsidRPr="00D17F57">
        <w:rPr>
          <w:lang w:val="en-GB"/>
        </w:rPr>
        <w:t xml:space="preserve">. </w:t>
      </w:r>
      <w:proofErr w:type="gramStart"/>
      <w:r>
        <w:rPr>
          <w:lang w:val="en-GB"/>
        </w:rPr>
        <w:t>What’s</w:t>
      </w:r>
      <w:proofErr w:type="gramEnd"/>
      <w:r>
        <w:rPr>
          <w:lang w:val="en-GB"/>
        </w:rPr>
        <w:t xml:space="preserve"> in a name? Comments on the use of the terms “accident” and “injury”. </w:t>
      </w:r>
      <w:proofErr w:type="spellStart"/>
      <w:r>
        <w:rPr>
          <w:i/>
          <w:lang w:val="en-GB"/>
        </w:rPr>
        <w:t>Inj</w:t>
      </w:r>
      <w:proofErr w:type="spellEnd"/>
      <w:r>
        <w:rPr>
          <w:i/>
          <w:lang w:val="en-GB"/>
        </w:rPr>
        <w:t xml:space="preserve"> </w:t>
      </w:r>
      <w:proofErr w:type="spellStart"/>
      <w:r>
        <w:rPr>
          <w:i/>
          <w:lang w:val="en-GB"/>
        </w:rPr>
        <w:t>Prev</w:t>
      </w:r>
      <w:proofErr w:type="spellEnd"/>
      <w:r>
        <w:rPr>
          <w:lang w:val="en-GB"/>
        </w:rPr>
        <w:t xml:space="preserve"> 1995; </w:t>
      </w:r>
      <w:r w:rsidRPr="001575D2">
        <w:rPr>
          <w:lang w:val="en-GB"/>
        </w:rPr>
        <w:t>1</w:t>
      </w:r>
      <w:r>
        <w:rPr>
          <w:lang w:val="en-GB"/>
        </w:rPr>
        <w:t>: 9.</w:t>
      </w:r>
    </w:p>
    <w:p w14:paraId="2501B461" w14:textId="6FCF2794" w:rsidR="001575D2" w:rsidRDefault="001575D2" w:rsidP="001575D2">
      <w:pPr>
        <w:spacing w:line="360" w:lineRule="auto"/>
        <w:rPr>
          <w:lang w:val="en-GB"/>
        </w:rPr>
      </w:pPr>
      <w:r w:rsidRPr="001575D2">
        <w:rPr>
          <w:lang w:val="en-GB"/>
        </w:rPr>
        <w:t xml:space="preserve">[9] </w:t>
      </w:r>
      <w:r>
        <w:rPr>
          <w:lang w:val="en-GB"/>
        </w:rPr>
        <w:t xml:space="preserve">Langley JD. Challenges for surveillance for injury prevention. </w:t>
      </w:r>
      <w:r w:rsidRPr="00BF4A78">
        <w:rPr>
          <w:i/>
          <w:lang w:val="en-GB"/>
        </w:rPr>
        <w:t>Injury Control and Safety Promotion</w:t>
      </w:r>
      <w:r>
        <w:rPr>
          <w:lang w:val="en-GB"/>
        </w:rPr>
        <w:t xml:space="preserve"> 2004; </w:t>
      </w:r>
      <w:r w:rsidRPr="001036CC">
        <w:rPr>
          <w:lang w:val="en-GB"/>
        </w:rPr>
        <w:t>11</w:t>
      </w:r>
      <w:r>
        <w:rPr>
          <w:lang w:val="en-GB"/>
        </w:rPr>
        <w:t>; 3-8.</w:t>
      </w:r>
    </w:p>
    <w:p w14:paraId="2253AC2C" w14:textId="26CEF41D" w:rsidR="001575D2" w:rsidRDefault="001575D2" w:rsidP="001575D2">
      <w:pPr>
        <w:spacing w:line="360" w:lineRule="auto"/>
        <w:rPr>
          <w:lang w:val="en-GB"/>
        </w:rPr>
      </w:pPr>
      <w:r>
        <w:rPr>
          <w:lang w:val="en-GB"/>
        </w:rPr>
        <w:t xml:space="preserve">[10] </w:t>
      </w:r>
      <w:r w:rsidRPr="001575D2">
        <w:rPr>
          <w:lang w:val="en-GB"/>
        </w:rPr>
        <w:t xml:space="preserve">Langley JD and Brenner R. </w:t>
      </w:r>
      <w:r w:rsidRPr="00B53CE2">
        <w:rPr>
          <w:lang w:val="en-GB"/>
        </w:rPr>
        <w:t xml:space="preserve">What is an injury? </w:t>
      </w:r>
      <w:proofErr w:type="spellStart"/>
      <w:r>
        <w:rPr>
          <w:i/>
          <w:lang w:val="en-GB"/>
        </w:rPr>
        <w:t>Inj</w:t>
      </w:r>
      <w:proofErr w:type="spellEnd"/>
      <w:r>
        <w:rPr>
          <w:i/>
          <w:lang w:val="en-GB"/>
        </w:rPr>
        <w:t xml:space="preserve"> </w:t>
      </w:r>
      <w:proofErr w:type="spellStart"/>
      <w:r>
        <w:rPr>
          <w:i/>
          <w:lang w:val="en-GB"/>
        </w:rPr>
        <w:t>Prev</w:t>
      </w:r>
      <w:proofErr w:type="spellEnd"/>
      <w:r>
        <w:rPr>
          <w:lang w:val="en-GB"/>
        </w:rPr>
        <w:t xml:space="preserve"> 2004;</w:t>
      </w:r>
      <w:r w:rsidRPr="00B53CE2">
        <w:rPr>
          <w:i/>
          <w:lang w:val="en-GB"/>
        </w:rPr>
        <w:t xml:space="preserve"> </w:t>
      </w:r>
      <w:r w:rsidRPr="001575D2">
        <w:rPr>
          <w:lang w:val="en-GB"/>
        </w:rPr>
        <w:t>10</w:t>
      </w:r>
      <w:r>
        <w:rPr>
          <w:lang w:val="en-GB"/>
        </w:rPr>
        <w:t>: 69-71.</w:t>
      </w:r>
    </w:p>
    <w:p w14:paraId="53E82A3F" w14:textId="50F741F0" w:rsidR="008F16CE" w:rsidRDefault="008F16CE" w:rsidP="008F16CE">
      <w:pPr>
        <w:spacing w:line="360" w:lineRule="auto"/>
        <w:rPr>
          <w:lang w:val="en-GB"/>
        </w:rPr>
      </w:pPr>
      <w:r w:rsidRPr="008F16CE">
        <w:rPr>
          <w:lang w:val="en-GB"/>
        </w:rPr>
        <w:t xml:space="preserve">[11] Cryer C and Langley </w:t>
      </w:r>
      <w:r>
        <w:rPr>
          <w:lang w:val="en-GB"/>
        </w:rPr>
        <w:t>JD.</w:t>
      </w:r>
      <w:r w:rsidRPr="008F16CE">
        <w:rPr>
          <w:lang w:val="en-GB"/>
        </w:rPr>
        <w:t xml:space="preserve"> </w:t>
      </w:r>
      <w:r w:rsidRPr="00BF4A78">
        <w:rPr>
          <w:lang w:val="en-GB"/>
        </w:rPr>
        <w:t xml:space="preserve">Studies need to make explicit the theoretical and case definitions of injury. </w:t>
      </w:r>
      <w:proofErr w:type="spellStart"/>
      <w:r>
        <w:rPr>
          <w:i/>
          <w:lang w:val="en-GB"/>
        </w:rPr>
        <w:t>Inj</w:t>
      </w:r>
      <w:proofErr w:type="spellEnd"/>
      <w:r>
        <w:rPr>
          <w:i/>
          <w:lang w:val="en-GB"/>
        </w:rPr>
        <w:t xml:space="preserve"> </w:t>
      </w:r>
      <w:proofErr w:type="spellStart"/>
      <w:r>
        <w:rPr>
          <w:i/>
          <w:lang w:val="en-GB"/>
        </w:rPr>
        <w:t>Prev</w:t>
      </w:r>
      <w:proofErr w:type="spellEnd"/>
      <w:r>
        <w:rPr>
          <w:lang w:val="en-GB"/>
        </w:rPr>
        <w:t xml:space="preserve"> 2008;</w:t>
      </w:r>
      <w:r w:rsidRPr="00BF4A78">
        <w:rPr>
          <w:lang w:val="en-GB"/>
        </w:rPr>
        <w:t xml:space="preserve"> </w:t>
      </w:r>
      <w:r w:rsidRPr="008F16CE">
        <w:rPr>
          <w:lang w:val="en-GB"/>
        </w:rPr>
        <w:t>14</w:t>
      </w:r>
      <w:r>
        <w:rPr>
          <w:lang w:val="en-GB"/>
        </w:rPr>
        <w:t>: 74-77.</w:t>
      </w:r>
    </w:p>
    <w:p w14:paraId="7431FBC3" w14:textId="2E375C9C" w:rsidR="008F16CE" w:rsidRDefault="008F16CE" w:rsidP="008F16CE">
      <w:pPr>
        <w:spacing w:line="360" w:lineRule="auto"/>
        <w:rPr>
          <w:lang w:val="en-GB"/>
        </w:rPr>
      </w:pPr>
      <w:r w:rsidRPr="00A45745">
        <w:rPr>
          <w:lang w:val="en-GB"/>
        </w:rPr>
        <w:t xml:space="preserve">[12] Lyons RA, </w:t>
      </w:r>
      <w:proofErr w:type="spellStart"/>
      <w:r w:rsidRPr="00A45745">
        <w:rPr>
          <w:lang w:val="en-GB"/>
        </w:rPr>
        <w:t>Gabbe</w:t>
      </w:r>
      <w:proofErr w:type="spellEnd"/>
      <w:r w:rsidRPr="00A45745">
        <w:rPr>
          <w:lang w:val="en-GB"/>
        </w:rPr>
        <w:t xml:space="preserve"> BJ, </w:t>
      </w:r>
      <w:proofErr w:type="spellStart"/>
      <w:r w:rsidRPr="00A45745">
        <w:rPr>
          <w:lang w:val="en-GB"/>
        </w:rPr>
        <w:t>Hedegaard</w:t>
      </w:r>
      <w:proofErr w:type="spellEnd"/>
      <w:r w:rsidRPr="00A45745">
        <w:rPr>
          <w:lang w:val="en-GB"/>
        </w:rPr>
        <w:t xml:space="preserve"> H, et al. </w:t>
      </w:r>
      <w:r>
        <w:rPr>
          <w:lang w:val="en-GB"/>
        </w:rPr>
        <w:t xml:space="preserve">Grand research challenge: Global collaboration in measuring the incidence and burden of injuries. Initial scoping paper written by the Injury ICE Steering Committee, 2014. </w:t>
      </w:r>
    </w:p>
    <w:p w14:paraId="079DD0C7" w14:textId="4C1D58B1" w:rsidR="008F16CE" w:rsidRDefault="008F16CE" w:rsidP="008F16CE">
      <w:pPr>
        <w:spacing w:line="360" w:lineRule="auto"/>
        <w:rPr>
          <w:lang w:val="en-GB"/>
        </w:rPr>
      </w:pPr>
      <w:r w:rsidRPr="008F16CE">
        <w:lastRenderedPageBreak/>
        <w:t xml:space="preserve">[13] </w:t>
      </w:r>
      <w:proofErr w:type="spellStart"/>
      <w:r w:rsidRPr="008F16CE">
        <w:t>McClure</w:t>
      </w:r>
      <w:proofErr w:type="spellEnd"/>
      <w:r w:rsidRPr="008F16CE">
        <w:t xml:space="preserve"> RJ, Peel N, Kassulke D, </w:t>
      </w:r>
      <w:r>
        <w:t>et al</w:t>
      </w:r>
      <w:r w:rsidRPr="008F16CE">
        <w:t xml:space="preserve">. </w:t>
      </w:r>
      <w:r>
        <w:rPr>
          <w:lang w:val="en-GB"/>
        </w:rPr>
        <w:t xml:space="preserve">Appropriate indicators for injury </w:t>
      </w:r>
      <w:proofErr w:type="gramStart"/>
      <w:r>
        <w:rPr>
          <w:lang w:val="en-GB"/>
        </w:rPr>
        <w:t>control?</w:t>
      </w:r>
      <w:proofErr w:type="gramEnd"/>
      <w:r>
        <w:rPr>
          <w:lang w:val="en-GB"/>
        </w:rPr>
        <w:t xml:space="preserve"> </w:t>
      </w:r>
      <w:r w:rsidRPr="006D2824">
        <w:rPr>
          <w:i/>
          <w:lang w:val="en-GB"/>
        </w:rPr>
        <w:t>Public Health</w:t>
      </w:r>
      <w:r>
        <w:rPr>
          <w:i/>
          <w:lang w:val="en-GB"/>
        </w:rPr>
        <w:t xml:space="preserve"> </w:t>
      </w:r>
      <w:r>
        <w:rPr>
          <w:lang w:val="en-GB"/>
        </w:rPr>
        <w:t xml:space="preserve">2002; </w:t>
      </w:r>
      <w:r w:rsidRPr="008F16CE">
        <w:rPr>
          <w:lang w:val="en-GB"/>
        </w:rPr>
        <w:t>116</w:t>
      </w:r>
      <w:r>
        <w:rPr>
          <w:lang w:val="en-GB"/>
        </w:rPr>
        <w:t>: 252-256.</w:t>
      </w:r>
    </w:p>
    <w:p w14:paraId="0C113C11" w14:textId="4FC3BA2A" w:rsidR="008F16CE" w:rsidRDefault="008F16CE" w:rsidP="008F16CE">
      <w:pPr>
        <w:spacing w:line="360" w:lineRule="auto"/>
        <w:rPr>
          <w:lang w:val="en-GB"/>
        </w:rPr>
      </w:pPr>
      <w:r>
        <w:rPr>
          <w:lang w:val="en-GB"/>
        </w:rPr>
        <w:t xml:space="preserve">[14] Lyons RA, Brophy S, </w:t>
      </w:r>
      <w:proofErr w:type="spellStart"/>
      <w:r>
        <w:rPr>
          <w:lang w:val="en-GB"/>
        </w:rPr>
        <w:t>Pockett</w:t>
      </w:r>
      <w:proofErr w:type="spellEnd"/>
      <w:r>
        <w:rPr>
          <w:lang w:val="en-GB"/>
        </w:rPr>
        <w:t xml:space="preserve"> R, et al. Purpose, development and use of injury indicators. </w:t>
      </w:r>
      <w:r w:rsidRPr="00D17F57">
        <w:rPr>
          <w:i/>
          <w:lang w:val="en-GB"/>
        </w:rPr>
        <w:t>International Journal of Injury Control and Safety Promotion</w:t>
      </w:r>
      <w:r>
        <w:rPr>
          <w:lang w:val="en-GB"/>
        </w:rPr>
        <w:t xml:space="preserve"> 2005; </w:t>
      </w:r>
      <w:r w:rsidRPr="008F16CE">
        <w:rPr>
          <w:lang w:val="en-GB"/>
        </w:rPr>
        <w:t>12</w:t>
      </w:r>
      <w:r>
        <w:rPr>
          <w:lang w:val="en-GB"/>
        </w:rPr>
        <w:t>, 207-211.</w:t>
      </w:r>
    </w:p>
    <w:p w14:paraId="1CE06CBF" w14:textId="760D364C" w:rsidR="008F16CE" w:rsidRPr="00A45745" w:rsidRDefault="00C631C3" w:rsidP="008F16CE">
      <w:pPr>
        <w:spacing w:line="360" w:lineRule="auto"/>
      </w:pPr>
      <w:r w:rsidRPr="00A45745">
        <w:rPr>
          <w:lang w:val="en-GB"/>
        </w:rPr>
        <w:t xml:space="preserve">[15] </w:t>
      </w:r>
      <w:proofErr w:type="spellStart"/>
      <w:r w:rsidRPr="00A45745">
        <w:rPr>
          <w:lang w:val="en-GB"/>
        </w:rPr>
        <w:t>Polinder</w:t>
      </w:r>
      <w:proofErr w:type="spellEnd"/>
      <w:r w:rsidRPr="00A45745">
        <w:rPr>
          <w:lang w:val="en-GB"/>
        </w:rPr>
        <w:t xml:space="preserve"> S, </w:t>
      </w:r>
      <w:proofErr w:type="spellStart"/>
      <w:r w:rsidRPr="00A45745">
        <w:rPr>
          <w:lang w:val="en-GB"/>
        </w:rPr>
        <w:t>Haagsma</w:t>
      </w:r>
      <w:proofErr w:type="spellEnd"/>
      <w:r w:rsidRPr="00A45745">
        <w:rPr>
          <w:lang w:val="en-GB"/>
        </w:rPr>
        <w:t xml:space="preserve"> JA, </w:t>
      </w:r>
      <w:proofErr w:type="spellStart"/>
      <w:r w:rsidRPr="00A45745">
        <w:rPr>
          <w:lang w:val="en-GB"/>
        </w:rPr>
        <w:t>Toet</w:t>
      </w:r>
      <w:proofErr w:type="spellEnd"/>
      <w:r w:rsidRPr="00A45745">
        <w:rPr>
          <w:lang w:val="en-GB"/>
        </w:rPr>
        <w:t xml:space="preserve">, H, et al. </w:t>
      </w:r>
      <w:r w:rsidRPr="00112298">
        <w:rPr>
          <w:lang w:val="en-GB"/>
        </w:rPr>
        <w:t xml:space="preserve">Epidemiological burden of minor, major and fatal trauma in a national </w:t>
      </w:r>
      <w:r>
        <w:rPr>
          <w:lang w:val="en-GB"/>
        </w:rPr>
        <w:t xml:space="preserve">injury pyramid. </w:t>
      </w:r>
      <w:proofErr w:type="spellStart"/>
      <w:r w:rsidRPr="00A45745">
        <w:rPr>
          <w:i/>
        </w:rPr>
        <w:t>Br</w:t>
      </w:r>
      <w:proofErr w:type="spellEnd"/>
      <w:r w:rsidRPr="00A45745">
        <w:rPr>
          <w:i/>
        </w:rPr>
        <w:t xml:space="preserve"> J </w:t>
      </w:r>
      <w:proofErr w:type="spellStart"/>
      <w:r w:rsidRPr="00A45745">
        <w:rPr>
          <w:i/>
        </w:rPr>
        <w:t>Surg</w:t>
      </w:r>
      <w:proofErr w:type="spellEnd"/>
      <w:r w:rsidRPr="00A45745">
        <w:t xml:space="preserve"> 2012; 99 </w:t>
      </w:r>
      <w:proofErr w:type="spellStart"/>
      <w:r w:rsidRPr="00A45745">
        <w:t>Suppl</w:t>
      </w:r>
      <w:proofErr w:type="spellEnd"/>
      <w:r w:rsidRPr="00A45745">
        <w:t xml:space="preserve"> 1: 114-121.</w:t>
      </w:r>
    </w:p>
    <w:p w14:paraId="071F8695" w14:textId="03D0A896" w:rsidR="00C631C3" w:rsidRPr="003329D7" w:rsidRDefault="00C631C3" w:rsidP="00C631C3">
      <w:pPr>
        <w:spacing w:line="360" w:lineRule="auto"/>
        <w:rPr>
          <w:lang w:val="en-GB"/>
        </w:rPr>
      </w:pPr>
      <w:r w:rsidRPr="00C631C3">
        <w:t xml:space="preserve">[16] Baker R, </w:t>
      </w:r>
      <w:proofErr w:type="spellStart"/>
      <w:r w:rsidRPr="00C631C3">
        <w:t>Tata</w:t>
      </w:r>
      <w:proofErr w:type="spellEnd"/>
      <w:r w:rsidRPr="00C631C3">
        <w:t xml:space="preserve"> L</w:t>
      </w:r>
      <w:r>
        <w:t xml:space="preserve">J, </w:t>
      </w:r>
      <w:proofErr w:type="spellStart"/>
      <w:r>
        <w:t>Kendrick</w:t>
      </w:r>
      <w:proofErr w:type="spellEnd"/>
      <w:r>
        <w:t xml:space="preserve"> D</w:t>
      </w:r>
      <w:r w:rsidRPr="00C631C3">
        <w:t>,</w:t>
      </w:r>
      <w:r>
        <w:t xml:space="preserve"> et al</w:t>
      </w:r>
      <w:r w:rsidRPr="0004127A">
        <w:t xml:space="preserve">. </w:t>
      </w:r>
      <w:r w:rsidRPr="003329D7">
        <w:rPr>
          <w:lang w:val="en-GB"/>
        </w:rPr>
        <w:t xml:space="preserve">Identification of </w:t>
      </w:r>
      <w:r>
        <w:rPr>
          <w:lang w:val="en-GB"/>
        </w:rPr>
        <w:t xml:space="preserve">incident poisoning, fracture and burn events using linked primary care, secondary care and mortality data from England: implications for research and surveillance. </w:t>
      </w:r>
      <w:proofErr w:type="spellStart"/>
      <w:r>
        <w:rPr>
          <w:i/>
          <w:lang w:val="en-GB"/>
        </w:rPr>
        <w:t>Inj</w:t>
      </w:r>
      <w:proofErr w:type="spellEnd"/>
      <w:r>
        <w:rPr>
          <w:i/>
          <w:lang w:val="en-GB"/>
        </w:rPr>
        <w:t xml:space="preserve"> </w:t>
      </w:r>
      <w:proofErr w:type="spellStart"/>
      <w:r>
        <w:rPr>
          <w:i/>
          <w:lang w:val="en-GB"/>
        </w:rPr>
        <w:t>Prev</w:t>
      </w:r>
      <w:proofErr w:type="spellEnd"/>
      <w:r>
        <w:rPr>
          <w:lang w:val="en-GB"/>
        </w:rPr>
        <w:t xml:space="preserve"> 2016; </w:t>
      </w:r>
      <w:r w:rsidRPr="00C631C3">
        <w:rPr>
          <w:lang w:val="en-GB"/>
        </w:rPr>
        <w:t>22</w:t>
      </w:r>
      <w:r>
        <w:rPr>
          <w:lang w:val="en-GB"/>
        </w:rPr>
        <w:t>, 59-67.</w:t>
      </w:r>
    </w:p>
    <w:p w14:paraId="56CDE14D" w14:textId="1B86CCA9" w:rsidR="004950FE" w:rsidRDefault="004950FE" w:rsidP="004950FE">
      <w:pPr>
        <w:spacing w:line="360" w:lineRule="auto"/>
        <w:rPr>
          <w:lang w:val="en-GB"/>
        </w:rPr>
      </w:pPr>
      <w:r w:rsidRPr="004950FE">
        <w:rPr>
          <w:lang w:val="en-GB"/>
        </w:rPr>
        <w:t xml:space="preserve">[17] </w:t>
      </w:r>
      <w:proofErr w:type="spellStart"/>
      <w:r>
        <w:rPr>
          <w:lang w:val="en-GB"/>
        </w:rPr>
        <w:t>Grimsmo</w:t>
      </w:r>
      <w:proofErr w:type="spellEnd"/>
      <w:r>
        <w:rPr>
          <w:lang w:val="en-GB"/>
        </w:rPr>
        <w:t xml:space="preserve"> A and Johnsen K. Data-assisted review of medically treated injuries in general practice. </w:t>
      </w:r>
      <w:r w:rsidRPr="00305362">
        <w:rPr>
          <w:i/>
          <w:lang w:val="en-GB"/>
        </w:rPr>
        <w:t>European Journal of General Practice</w:t>
      </w:r>
      <w:r>
        <w:rPr>
          <w:lang w:val="en-GB"/>
        </w:rPr>
        <w:t xml:space="preserve"> 1999</w:t>
      </w:r>
      <w:r w:rsidRPr="004950FE">
        <w:rPr>
          <w:lang w:val="en-GB"/>
        </w:rPr>
        <w:t>; 5</w:t>
      </w:r>
      <w:r>
        <w:rPr>
          <w:lang w:val="en-GB"/>
        </w:rPr>
        <w:t>: 59-65.</w:t>
      </w:r>
    </w:p>
    <w:p w14:paraId="54612C20" w14:textId="1AD8CF7B" w:rsidR="0072668C" w:rsidRDefault="0072668C" w:rsidP="004950FE">
      <w:pPr>
        <w:spacing w:line="360" w:lineRule="auto"/>
        <w:rPr>
          <w:lang w:val="en-GB"/>
        </w:rPr>
      </w:pPr>
      <w:r>
        <w:rPr>
          <w:lang w:val="en-GB"/>
        </w:rPr>
        <w:t xml:space="preserve">[18] Statistics Norway. Population and population changes, </w:t>
      </w:r>
      <w:r w:rsidRPr="0072668C">
        <w:rPr>
          <w:lang w:val="en-GB"/>
        </w:rPr>
        <w:t xml:space="preserve">https://www.ssb.no/en/befolkning/statistikker/folkemengde </w:t>
      </w:r>
      <w:r>
        <w:rPr>
          <w:lang w:val="en-GB"/>
        </w:rPr>
        <w:t>(2017, accessed 21 September 2017).</w:t>
      </w:r>
    </w:p>
    <w:p w14:paraId="0F88E600" w14:textId="6AB39FE7" w:rsidR="00896E96" w:rsidRDefault="00896E96" w:rsidP="00896E96">
      <w:pPr>
        <w:spacing w:line="360" w:lineRule="auto"/>
        <w:rPr>
          <w:lang w:val="en-GB"/>
        </w:rPr>
      </w:pPr>
      <w:r>
        <w:rPr>
          <w:lang w:val="en-GB"/>
        </w:rPr>
        <w:t xml:space="preserve">[19] Cryer C, Jarvis SN, Edwards P, et al. How can we reliably measure the occurrence of non-fatal injury? </w:t>
      </w:r>
      <w:r w:rsidRPr="00E22B7A">
        <w:rPr>
          <w:i/>
          <w:lang w:val="en-GB"/>
        </w:rPr>
        <w:t>International Journal for Consumer and Product Safety</w:t>
      </w:r>
      <w:r>
        <w:rPr>
          <w:lang w:val="en-GB"/>
        </w:rPr>
        <w:t xml:space="preserve"> 1999; </w:t>
      </w:r>
      <w:r w:rsidRPr="00896E96">
        <w:rPr>
          <w:lang w:val="en-GB"/>
        </w:rPr>
        <w:t>6</w:t>
      </w:r>
      <w:r>
        <w:rPr>
          <w:lang w:val="en-GB"/>
        </w:rPr>
        <w:t>: 183-191.</w:t>
      </w:r>
    </w:p>
    <w:p w14:paraId="51E0CE87" w14:textId="7A966E5F" w:rsidR="00896E96" w:rsidRDefault="00896E96" w:rsidP="00896E96">
      <w:pPr>
        <w:spacing w:line="360" w:lineRule="auto"/>
        <w:rPr>
          <w:lang w:val="en-GB"/>
        </w:rPr>
      </w:pPr>
      <w:r w:rsidRPr="00896E96">
        <w:rPr>
          <w:lang w:val="en-GB"/>
        </w:rPr>
        <w:t xml:space="preserve">[20] </w:t>
      </w:r>
      <w:proofErr w:type="spellStart"/>
      <w:r w:rsidRPr="00896E96">
        <w:rPr>
          <w:lang w:val="en-GB"/>
        </w:rPr>
        <w:t>Raknes</w:t>
      </w:r>
      <w:proofErr w:type="spellEnd"/>
      <w:r w:rsidRPr="00896E96">
        <w:rPr>
          <w:lang w:val="en-GB"/>
        </w:rPr>
        <w:t xml:space="preserve"> G, Hansen EH and </w:t>
      </w:r>
      <w:proofErr w:type="spellStart"/>
      <w:r w:rsidRPr="00896E96">
        <w:rPr>
          <w:lang w:val="en-GB"/>
        </w:rPr>
        <w:t>Hunskaar</w:t>
      </w:r>
      <w:proofErr w:type="spellEnd"/>
      <w:r w:rsidRPr="00896E96">
        <w:rPr>
          <w:lang w:val="en-GB"/>
        </w:rPr>
        <w:t xml:space="preserve"> S. </w:t>
      </w:r>
      <w:r w:rsidRPr="0072504D">
        <w:rPr>
          <w:lang w:val="en-GB"/>
        </w:rPr>
        <w:t xml:space="preserve">Distance and utilisation of out-of-hours services in a Norwegian </w:t>
      </w:r>
      <w:r>
        <w:rPr>
          <w:lang w:val="en-GB"/>
        </w:rPr>
        <w:t xml:space="preserve">urban/rural district: an ecological study. </w:t>
      </w:r>
      <w:r w:rsidRPr="0072504D">
        <w:rPr>
          <w:i/>
          <w:lang w:val="en-GB"/>
        </w:rPr>
        <w:t>BMC Health Services Research</w:t>
      </w:r>
      <w:r>
        <w:rPr>
          <w:lang w:val="en-GB"/>
        </w:rPr>
        <w:t xml:space="preserve"> 2013; </w:t>
      </w:r>
      <w:r w:rsidRPr="00896E96">
        <w:rPr>
          <w:lang w:val="en-GB"/>
        </w:rPr>
        <w:t>13</w:t>
      </w:r>
      <w:r>
        <w:rPr>
          <w:lang w:val="en-GB"/>
        </w:rPr>
        <w:t>: 222.</w:t>
      </w:r>
      <w:r w:rsidRPr="0072504D">
        <w:rPr>
          <w:lang w:val="en-GB"/>
        </w:rPr>
        <w:t xml:space="preserve"> </w:t>
      </w:r>
    </w:p>
    <w:p w14:paraId="38A96EC7" w14:textId="21C77CC1" w:rsidR="008F16CE" w:rsidRDefault="00B96767" w:rsidP="008F16CE">
      <w:pPr>
        <w:spacing w:line="360" w:lineRule="auto"/>
        <w:rPr>
          <w:lang w:val="en-GB"/>
        </w:rPr>
      </w:pPr>
      <w:r w:rsidRPr="000035B5">
        <w:rPr>
          <w:lang w:val="en-GB"/>
        </w:rPr>
        <w:t xml:space="preserve">[21] </w:t>
      </w:r>
      <w:proofErr w:type="spellStart"/>
      <w:r w:rsidRPr="000035B5">
        <w:rPr>
          <w:lang w:val="en-GB"/>
        </w:rPr>
        <w:t>Søgaard</w:t>
      </w:r>
      <w:proofErr w:type="spellEnd"/>
      <w:r w:rsidRPr="000035B5">
        <w:rPr>
          <w:lang w:val="en-GB"/>
        </w:rPr>
        <w:t xml:space="preserve"> AJ, Holvik K, Meyer HE, et al. </w:t>
      </w:r>
      <w:r w:rsidRPr="00B96767">
        <w:rPr>
          <w:lang w:val="en-GB"/>
        </w:rPr>
        <w:t>Continued decline in hip fracture incidence in Norway</w:t>
      </w:r>
      <w:r>
        <w:rPr>
          <w:lang w:val="en-GB"/>
        </w:rPr>
        <w:t xml:space="preserve">: a NOREPOS study. </w:t>
      </w:r>
      <w:proofErr w:type="spellStart"/>
      <w:r w:rsidRPr="0001283A">
        <w:rPr>
          <w:i/>
          <w:lang w:val="en-GB"/>
        </w:rPr>
        <w:t>Osteoporos</w:t>
      </w:r>
      <w:proofErr w:type="spellEnd"/>
      <w:r w:rsidRPr="0001283A">
        <w:rPr>
          <w:i/>
          <w:lang w:val="en-GB"/>
        </w:rPr>
        <w:t xml:space="preserve"> </w:t>
      </w:r>
      <w:proofErr w:type="spellStart"/>
      <w:r w:rsidRPr="0001283A">
        <w:rPr>
          <w:i/>
          <w:lang w:val="en-GB"/>
        </w:rPr>
        <w:t>Int</w:t>
      </w:r>
      <w:proofErr w:type="spellEnd"/>
      <w:r>
        <w:rPr>
          <w:lang w:val="en-GB"/>
        </w:rPr>
        <w:t xml:space="preserve"> 2016; 27: 2217-2222.</w:t>
      </w:r>
    </w:p>
    <w:p w14:paraId="44E47987" w14:textId="6EE7F441" w:rsidR="00A326CB" w:rsidRDefault="006147D4" w:rsidP="008F16CE">
      <w:pPr>
        <w:spacing w:line="360" w:lineRule="auto"/>
        <w:rPr>
          <w:lang w:val="en-GB"/>
        </w:rPr>
      </w:pPr>
      <w:r>
        <w:rPr>
          <w:lang w:val="en-GB"/>
        </w:rPr>
        <w:t xml:space="preserve">[22] Veronese N and Maggi S. Epidemiology and social costs of hip fracture. </w:t>
      </w:r>
      <w:r w:rsidRPr="00A326CB">
        <w:rPr>
          <w:i/>
          <w:lang w:val="en-GB"/>
        </w:rPr>
        <w:t>Injury</w:t>
      </w:r>
      <w:r w:rsidR="00A85EB6">
        <w:rPr>
          <w:lang w:val="en-GB"/>
        </w:rPr>
        <w:t xml:space="preserve"> 2018; 49: 1458-1460</w:t>
      </w:r>
      <w:r w:rsidR="00A326CB">
        <w:rPr>
          <w:lang w:val="en-GB"/>
        </w:rPr>
        <w:t xml:space="preserve">. </w:t>
      </w:r>
    </w:p>
    <w:p w14:paraId="663F5DA7" w14:textId="7CD2422B" w:rsidR="00E9669E" w:rsidRPr="000035B5" w:rsidRDefault="00A326CB" w:rsidP="00E9669E">
      <w:pPr>
        <w:spacing w:line="360" w:lineRule="auto"/>
      </w:pPr>
      <w:r>
        <w:rPr>
          <w:lang w:val="en-GB"/>
        </w:rPr>
        <w:t xml:space="preserve">[23] </w:t>
      </w:r>
      <w:proofErr w:type="spellStart"/>
      <w:r w:rsidR="00E9669E">
        <w:rPr>
          <w:lang w:val="en-GB"/>
        </w:rPr>
        <w:t>Eurosafe</w:t>
      </w:r>
      <w:proofErr w:type="spellEnd"/>
      <w:r w:rsidR="00E9669E">
        <w:rPr>
          <w:lang w:val="en-GB"/>
        </w:rPr>
        <w:t xml:space="preserve">. </w:t>
      </w:r>
      <w:r w:rsidR="00E9669E" w:rsidRPr="00E9669E">
        <w:rPr>
          <w:i/>
          <w:lang w:val="en-GB"/>
        </w:rPr>
        <w:t>Injuries in the European Union, Report on injury statistics 2010-2012</w:t>
      </w:r>
      <w:r w:rsidR="00E9669E">
        <w:rPr>
          <w:lang w:val="en-GB"/>
        </w:rPr>
        <w:t xml:space="preserve">. </w:t>
      </w:r>
      <w:r w:rsidR="00E9669E" w:rsidRPr="000035B5">
        <w:t>Amsterdam; Eurosafe, 2014.</w:t>
      </w:r>
    </w:p>
    <w:p w14:paraId="2A1A41E3" w14:textId="35A2A431" w:rsidR="000035B5" w:rsidRDefault="000035B5" w:rsidP="000035B5">
      <w:pPr>
        <w:spacing w:line="360" w:lineRule="auto"/>
        <w:rPr>
          <w:lang w:val="en-GB"/>
        </w:rPr>
      </w:pPr>
      <w:r w:rsidRPr="000035B5">
        <w:t xml:space="preserve">[24] </w:t>
      </w:r>
      <w:proofErr w:type="spellStart"/>
      <w:r w:rsidRPr="000035B5">
        <w:t>Haagsma</w:t>
      </w:r>
      <w:proofErr w:type="spellEnd"/>
      <w:r w:rsidRPr="000035B5">
        <w:t xml:space="preserve"> J</w:t>
      </w:r>
      <w:r>
        <w:t>A</w:t>
      </w:r>
      <w:r w:rsidR="005523AE">
        <w:t xml:space="preserve">, van </w:t>
      </w:r>
      <w:proofErr w:type="spellStart"/>
      <w:r w:rsidR="005523AE">
        <w:t>Beeck</w:t>
      </w:r>
      <w:proofErr w:type="spellEnd"/>
      <w:r w:rsidR="005523AE">
        <w:t xml:space="preserve"> EF, </w:t>
      </w:r>
      <w:proofErr w:type="spellStart"/>
      <w:r w:rsidR="005523AE">
        <w:t>Polinder</w:t>
      </w:r>
      <w:proofErr w:type="spellEnd"/>
      <w:r w:rsidR="005523AE">
        <w:t xml:space="preserve"> S</w:t>
      </w:r>
      <w:r w:rsidRPr="000035B5">
        <w:t>,</w:t>
      </w:r>
      <w:r w:rsidR="005523AE">
        <w:t xml:space="preserve"> et al</w:t>
      </w:r>
      <w:r w:rsidRPr="005523AE">
        <w:t xml:space="preserve">. </w:t>
      </w:r>
      <w:r w:rsidRPr="002C0E75">
        <w:rPr>
          <w:lang w:val="en-GB"/>
        </w:rPr>
        <w:t>Novel empirical disability weights</w:t>
      </w:r>
      <w:r>
        <w:rPr>
          <w:lang w:val="en-GB"/>
        </w:rPr>
        <w:t xml:space="preserve"> to assess the burden of non-fatal injury. </w:t>
      </w:r>
      <w:proofErr w:type="spellStart"/>
      <w:r w:rsidR="005523AE">
        <w:rPr>
          <w:i/>
          <w:lang w:val="en-GB"/>
        </w:rPr>
        <w:t>Inj</w:t>
      </w:r>
      <w:proofErr w:type="spellEnd"/>
      <w:r w:rsidR="005523AE">
        <w:rPr>
          <w:i/>
          <w:lang w:val="en-GB"/>
        </w:rPr>
        <w:t xml:space="preserve"> </w:t>
      </w:r>
      <w:proofErr w:type="spellStart"/>
      <w:r w:rsidR="005523AE">
        <w:rPr>
          <w:i/>
          <w:lang w:val="en-GB"/>
        </w:rPr>
        <w:t>Prev</w:t>
      </w:r>
      <w:proofErr w:type="spellEnd"/>
      <w:r w:rsidR="005523AE">
        <w:rPr>
          <w:lang w:val="en-GB"/>
        </w:rPr>
        <w:t xml:space="preserve"> 2008</w:t>
      </w:r>
      <w:r>
        <w:rPr>
          <w:lang w:val="en-GB"/>
        </w:rPr>
        <w:t xml:space="preserve">; </w:t>
      </w:r>
      <w:r w:rsidRPr="005523AE">
        <w:rPr>
          <w:lang w:val="en-GB"/>
        </w:rPr>
        <w:t>14</w:t>
      </w:r>
      <w:r w:rsidR="005523AE">
        <w:rPr>
          <w:lang w:val="en-GB"/>
        </w:rPr>
        <w:t>:</w:t>
      </w:r>
      <w:r>
        <w:rPr>
          <w:lang w:val="en-GB"/>
        </w:rPr>
        <w:t xml:space="preserve"> 5-10.</w:t>
      </w:r>
    </w:p>
    <w:p w14:paraId="4D52C45C" w14:textId="59C8467A" w:rsidR="005523AE" w:rsidRPr="0010564C" w:rsidRDefault="005523AE" w:rsidP="005523AE">
      <w:pPr>
        <w:spacing w:line="360" w:lineRule="auto"/>
      </w:pPr>
      <w:r w:rsidRPr="005523AE">
        <w:rPr>
          <w:lang w:val="en-GB"/>
        </w:rPr>
        <w:t xml:space="preserve">[25] </w:t>
      </w:r>
      <w:r>
        <w:rPr>
          <w:lang w:val="en-GB"/>
        </w:rPr>
        <w:t xml:space="preserve">Lyons RA, Ward H, Brunt H, et al. </w:t>
      </w:r>
      <w:proofErr w:type="gramStart"/>
      <w:r>
        <w:rPr>
          <w:lang w:val="en-GB"/>
        </w:rPr>
        <w:t>Using</w:t>
      </w:r>
      <w:proofErr w:type="gramEnd"/>
      <w:r>
        <w:rPr>
          <w:lang w:val="en-GB"/>
        </w:rPr>
        <w:t xml:space="preserve"> multiple datasets to understand trends in serious traffic casualties. </w:t>
      </w:r>
      <w:proofErr w:type="spellStart"/>
      <w:r w:rsidRPr="0010564C">
        <w:rPr>
          <w:i/>
        </w:rPr>
        <w:t>Accid</w:t>
      </w:r>
      <w:proofErr w:type="spellEnd"/>
      <w:r w:rsidRPr="0010564C">
        <w:rPr>
          <w:i/>
        </w:rPr>
        <w:t xml:space="preserve"> Anal </w:t>
      </w:r>
      <w:proofErr w:type="spellStart"/>
      <w:r w:rsidRPr="0010564C">
        <w:rPr>
          <w:i/>
        </w:rPr>
        <w:t>Prev</w:t>
      </w:r>
      <w:proofErr w:type="spellEnd"/>
      <w:r w:rsidRPr="0010564C">
        <w:t xml:space="preserve"> 2008; 40: 1406-1410.</w:t>
      </w:r>
    </w:p>
    <w:p w14:paraId="3B8D225F" w14:textId="035A1AB5" w:rsidR="005523AE" w:rsidRDefault="005523AE" w:rsidP="005523AE">
      <w:pPr>
        <w:spacing w:line="360" w:lineRule="auto"/>
        <w:rPr>
          <w:lang w:val="en-GB"/>
        </w:rPr>
      </w:pPr>
      <w:r w:rsidRPr="005523AE">
        <w:t xml:space="preserve">[26] </w:t>
      </w:r>
      <w:r>
        <w:t xml:space="preserve">Baker R, Orton E, </w:t>
      </w:r>
      <w:proofErr w:type="spellStart"/>
      <w:r>
        <w:t>Tata</w:t>
      </w:r>
      <w:proofErr w:type="spellEnd"/>
      <w:r>
        <w:t xml:space="preserve"> LJ</w:t>
      </w:r>
      <w:r w:rsidRPr="000035B5">
        <w:t>,</w:t>
      </w:r>
      <w:r>
        <w:t xml:space="preserve"> et al</w:t>
      </w:r>
      <w:r w:rsidRPr="000035B5">
        <w:t xml:space="preserve">. </w:t>
      </w:r>
      <w:r w:rsidRPr="00741120">
        <w:rPr>
          <w:lang w:val="en-GB"/>
        </w:rPr>
        <w:t>Epidemiology of poisonings, fractures and burns among 0-24 year olds in England</w:t>
      </w:r>
      <w:r>
        <w:rPr>
          <w:lang w:val="en-GB"/>
        </w:rPr>
        <w:t xml:space="preserve"> using linked health and mortality data. </w:t>
      </w:r>
      <w:proofErr w:type="spellStart"/>
      <w:r>
        <w:rPr>
          <w:i/>
          <w:lang w:val="en-GB"/>
        </w:rPr>
        <w:t>Eur</w:t>
      </w:r>
      <w:proofErr w:type="spellEnd"/>
      <w:r>
        <w:rPr>
          <w:i/>
          <w:lang w:val="en-GB"/>
        </w:rPr>
        <w:t xml:space="preserve"> J </w:t>
      </w:r>
      <w:r w:rsidRPr="00741120">
        <w:rPr>
          <w:i/>
          <w:lang w:val="en-GB"/>
        </w:rPr>
        <w:t>Public Health</w:t>
      </w:r>
      <w:r>
        <w:rPr>
          <w:lang w:val="en-GB"/>
        </w:rPr>
        <w:t xml:space="preserve"> 2016; </w:t>
      </w:r>
      <w:r w:rsidRPr="005523AE">
        <w:rPr>
          <w:lang w:val="en-GB"/>
        </w:rPr>
        <w:t>26</w:t>
      </w:r>
      <w:r>
        <w:rPr>
          <w:lang w:val="en-GB"/>
        </w:rPr>
        <w:t>: 940-946.</w:t>
      </w:r>
      <w:r w:rsidRPr="00741120">
        <w:rPr>
          <w:lang w:val="en-GB"/>
        </w:rPr>
        <w:t xml:space="preserve"> </w:t>
      </w:r>
    </w:p>
    <w:p w14:paraId="5808B55D" w14:textId="43D3B606" w:rsidR="005523AE" w:rsidRDefault="005523AE" w:rsidP="005523AE">
      <w:pPr>
        <w:spacing w:line="360" w:lineRule="auto"/>
        <w:rPr>
          <w:lang w:val="en-GB"/>
        </w:rPr>
      </w:pPr>
      <w:r w:rsidRPr="0010564C">
        <w:rPr>
          <w:lang w:val="en-GB"/>
        </w:rPr>
        <w:lastRenderedPageBreak/>
        <w:t xml:space="preserve">[27] Baker R, Tata LJ, Kendrick D, et al. </w:t>
      </w:r>
      <w:r>
        <w:rPr>
          <w:lang w:val="en-GB"/>
        </w:rPr>
        <w:t xml:space="preserve">Different patterns in thermal injury incidence and hospitalisations among 0-4 year old children from England. </w:t>
      </w:r>
      <w:r w:rsidRPr="00850CD4">
        <w:rPr>
          <w:i/>
          <w:lang w:val="en-GB"/>
        </w:rPr>
        <w:t>Burns</w:t>
      </w:r>
      <w:r>
        <w:rPr>
          <w:lang w:val="en-GB"/>
        </w:rPr>
        <w:t xml:space="preserve"> 2016; </w:t>
      </w:r>
      <w:r w:rsidRPr="005523AE">
        <w:rPr>
          <w:lang w:val="en-GB"/>
        </w:rPr>
        <w:t>42</w:t>
      </w:r>
      <w:r w:rsidR="005D57AB">
        <w:rPr>
          <w:lang w:val="en-GB"/>
        </w:rPr>
        <w:t>:</w:t>
      </w:r>
      <w:r>
        <w:rPr>
          <w:lang w:val="en-GB"/>
        </w:rPr>
        <w:t xml:space="preserve"> 1609-1616.</w:t>
      </w:r>
    </w:p>
    <w:p w14:paraId="555B0136" w14:textId="41247C8B" w:rsidR="005D57AB" w:rsidRDefault="005D57AB" w:rsidP="005D57AB">
      <w:pPr>
        <w:spacing w:line="360" w:lineRule="auto"/>
        <w:rPr>
          <w:lang w:val="en-GB"/>
        </w:rPr>
      </w:pPr>
      <w:r w:rsidRPr="0010564C">
        <w:rPr>
          <w:lang w:val="en-GB"/>
        </w:rPr>
        <w:t xml:space="preserve">[28] Tyrell EG, Orton E, </w:t>
      </w:r>
      <w:proofErr w:type="spellStart"/>
      <w:r w:rsidRPr="0010564C">
        <w:rPr>
          <w:lang w:val="en-GB"/>
        </w:rPr>
        <w:t>Sayal</w:t>
      </w:r>
      <w:proofErr w:type="spellEnd"/>
      <w:r w:rsidRPr="0010564C">
        <w:rPr>
          <w:lang w:val="en-GB"/>
        </w:rPr>
        <w:t xml:space="preserve"> K, et al. </w:t>
      </w:r>
      <w:r>
        <w:rPr>
          <w:lang w:val="en-GB"/>
        </w:rPr>
        <w:t xml:space="preserve">Differing patterns in intentional and unintentional poisonings among young people in England, 1988-2014: a population-based cohort study. </w:t>
      </w:r>
      <w:r>
        <w:rPr>
          <w:i/>
          <w:lang w:val="en-GB"/>
        </w:rPr>
        <w:t xml:space="preserve">J </w:t>
      </w:r>
      <w:r w:rsidRPr="00FB2274">
        <w:rPr>
          <w:i/>
          <w:lang w:val="en-GB"/>
        </w:rPr>
        <w:t>Public Health</w:t>
      </w:r>
      <w:r>
        <w:rPr>
          <w:lang w:val="en-GB"/>
        </w:rPr>
        <w:t xml:space="preserve"> 2017; </w:t>
      </w:r>
      <w:r w:rsidRPr="005D57AB">
        <w:rPr>
          <w:lang w:val="en-GB"/>
        </w:rPr>
        <w:t>39</w:t>
      </w:r>
      <w:r>
        <w:rPr>
          <w:lang w:val="en-GB"/>
        </w:rPr>
        <w:t>: e1-e9.</w:t>
      </w:r>
    </w:p>
    <w:p w14:paraId="73D7FAB4" w14:textId="0330178C" w:rsidR="005D4606" w:rsidRPr="00A85EB6" w:rsidRDefault="005D4606" w:rsidP="005D57AB">
      <w:pPr>
        <w:spacing w:line="360" w:lineRule="auto"/>
      </w:pPr>
      <w:r w:rsidRPr="005004EA">
        <w:rPr>
          <w:lang w:val="en-GB"/>
        </w:rPr>
        <w:t xml:space="preserve">[29] Omsland TK, Holvik K, </w:t>
      </w:r>
      <w:proofErr w:type="gramStart"/>
      <w:r w:rsidRPr="005004EA">
        <w:rPr>
          <w:lang w:val="en-GB"/>
        </w:rPr>
        <w:t>Meyer</w:t>
      </w:r>
      <w:proofErr w:type="gramEnd"/>
      <w:r w:rsidRPr="005004EA">
        <w:rPr>
          <w:lang w:val="en-GB"/>
        </w:rPr>
        <w:t xml:space="preserve"> HE, et al. </w:t>
      </w:r>
      <w:r w:rsidRPr="00A85EB6">
        <w:rPr>
          <w:lang w:val="en-GB"/>
        </w:rPr>
        <w:t xml:space="preserve">Hip fractures in Norway 1999-2009: time trends in </w:t>
      </w:r>
      <w:r>
        <w:rPr>
          <w:lang w:val="en-GB"/>
        </w:rPr>
        <w:t xml:space="preserve">total incidence and second hip fracture rates: a NOREPOS study. </w:t>
      </w:r>
      <w:proofErr w:type="spellStart"/>
      <w:r w:rsidRPr="00A85EB6">
        <w:rPr>
          <w:i/>
        </w:rPr>
        <w:t>Eur</w:t>
      </w:r>
      <w:proofErr w:type="spellEnd"/>
      <w:r w:rsidRPr="00A85EB6">
        <w:rPr>
          <w:i/>
        </w:rPr>
        <w:t xml:space="preserve"> J </w:t>
      </w:r>
      <w:proofErr w:type="spellStart"/>
      <w:r w:rsidRPr="00A85EB6">
        <w:rPr>
          <w:i/>
        </w:rPr>
        <w:t>Epidemiol</w:t>
      </w:r>
      <w:proofErr w:type="spellEnd"/>
      <w:r w:rsidRPr="00A85EB6">
        <w:t xml:space="preserve"> 2012; 27: 807-814.</w:t>
      </w:r>
    </w:p>
    <w:p w14:paraId="563717AD" w14:textId="773236C0" w:rsidR="005D4606" w:rsidRDefault="005D4606" w:rsidP="005D57AB">
      <w:pPr>
        <w:spacing w:line="360" w:lineRule="auto"/>
        <w:rPr>
          <w:lang w:val="en-GB"/>
        </w:rPr>
      </w:pPr>
      <w:r w:rsidRPr="00A85EB6">
        <w:t xml:space="preserve">[30] Høiberg MP, Gram J, Hermann P, et al. </w:t>
      </w:r>
      <w:r w:rsidRPr="00A85EB6">
        <w:rPr>
          <w:lang w:val="en-GB"/>
        </w:rPr>
        <w:t>The incidence of hip fractures in Norway</w:t>
      </w:r>
      <w:r>
        <w:rPr>
          <w:lang w:val="en-GB"/>
        </w:rPr>
        <w:t xml:space="preserve"> </w:t>
      </w:r>
      <w:r w:rsidR="00B33DD5">
        <w:rPr>
          <w:lang w:val="en-GB"/>
        </w:rPr>
        <w:t>-</w:t>
      </w:r>
      <w:r>
        <w:rPr>
          <w:lang w:val="en-GB"/>
        </w:rPr>
        <w:t xml:space="preserve">accuracy of the national Norwegian patient registry. </w:t>
      </w:r>
      <w:r w:rsidRPr="00A85EB6">
        <w:rPr>
          <w:i/>
          <w:lang w:val="en-GB"/>
        </w:rPr>
        <w:t xml:space="preserve">BMC </w:t>
      </w:r>
      <w:proofErr w:type="spellStart"/>
      <w:r w:rsidRPr="00A85EB6">
        <w:rPr>
          <w:i/>
          <w:lang w:val="en-GB"/>
        </w:rPr>
        <w:t>Mus</w:t>
      </w:r>
      <w:r w:rsidR="00B33DD5" w:rsidRPr="00A85EB6">
        <w:rPr>
          <w:i/>
          <w:lang w:val="en-GB"/>
        </w:rPr>
        <w:t>cu</w:t>
      </w:r>
      <w:r w:rsidRPr="00A85EB6">
        <w:rPr>
          <w:i/>
          <w:lang w:val="en-GB"/>
        </w:rPr>
        <w:t>loskelet</w:t>
      </w:r>
      <w:proofErr w:type="spellEnd"/>
      <w:r w:rsidRPr="00A85EB6">
        <w:rPr>
          <w:i/>
          <w:lang w:val="en-GB"/>
        </w:rPr>
        <w:t xml:space="preserve"> </w:t>
      </w:r>
      <w:proofErr w:type="spellStart"/>
      <w:r w:rsidR="00B33DD5" w:rsidRPr="00A85EB6">
        <w:rPr>
          <w:i/>
          <w:lang w:val="en-GB"/>
        </w:rPr>
        <w:t>Disord</w:t>
      </w:r>
      <w:proofErr w:type="spellEnd"/>
      <w:r w:rsidR="00B33DD5">
        <w:rPr>
          <w:lang w:val="en-GB"/>
        </w:rPr>
        <w:t xml:space="preserve"> 2014; 15: 372.</w:t>
      </w:r>
    </w:p>
    <w:p w14:paraId="5C6B5591" w14:textId="3660036B" w:rsidR="00B33DD5" w:rsidRPr="00A85EB6" w:rsidRDefault="00B33DD5" w:rsidP="005D57AB">
      <w:pPr>
        <w:spacing w:line="360" w:lineRule="auto"/>
      </w:pPr>
      <w:r>
        <w:rPr>
          <w:lang w:val="en-GB"/>
        </w:rPr>
        <w:t xml:space="preserve">[31] Sing CW, Woo YC, Lee ACH, et al. Validity of major osteoporotic fracture diagnosis codes in the Clinical Data Analysis and Reporting System in Hong Kong. </w:t>
      </w:r>
      <w:proofErr w:type="spellStart"/>
      <w:r w:rsidRPr="00A85EB6">
        <w:rPr>
          <w:i/>
        </w:rPr>
        <w:t>Pharmacoepidemiol</w:t>
      </w:r>
      <w:proofErr w:type="spellEnd"/>
      <w:r w:rsidRPr="00A85EB6">
        <w:rPr>
          <w:i/>
        </w:rPr>
        <w:t xml:space="preserve"> </w:t>
      </w:r>
      <w:proofErr w:type="spellStart"/>
      <w:r w:rsidRPr="00A85EB6">
        <w:rPr>
          <w:i/>
        </w:rPr>
        <w:t>Drug</w:t>
      </w:r>
      <w:proofErr w:type="spellEnd"/>
      <w:r w:rsidRPr="00A85EB6">
        <w:rPr>
          <w:i/>
        </w:rPr>
        <w:t xml:space="preserve"> Saf</w:t>
      </w:r>
      <w:r w:rsidRPr="00A85EB6">
        <w:t xml:space="preserve"> 2017; 26: 973-976.</w:t>
      </w:r>
    </w:p>
    <w:p w14:paraId="1C6FFD3C" w14:textId="5996DF30" w:rsidR="00B33DD5" w:rsidRPr="00A85EB6" w:rsidRDefault="00B33DD5" w:rsidP="005D57AB">
      <w:pPr>
        <w:spacing w:line="360" w:lineRule="auto"/>
      </w:pPr>
      <w:r w:rsidRPr="00A85EB6">
        <w:t xml:space="preserve">[32] </w:t>
      </w:r>
      <w:proofErr w:type="spellStart"/>
      <w:r w:rsidRPr="00A85EB6">
        <w:t>Wennergren</w:t>
      </w:r>
      <w:proofErr w:type="spellEnd"/>
      <w:r w:rsidRPr="00A85EB6">
        <w:t xml:space="preserve"> D, </w:t>
      </w:r>
      <w:proofErr w:type="spellStart"/>
      <w:r w:rsidRPr="00A85EB6">
        <w:t>Stjernstr</w:t>
      </w:r>
      <w:r>
        <w:rPr>
          <w:rFonts w:cstheme="minorHAnsi"/>
        </w:rPr>
        <w:t>öm</w:t>
      </w:r>
      <w:proofErr w:type="spellEnd"/>
      <w:r>
        <w:rPr>
          <w:rFonts w:cstheme="minorHAnsi"/>
        </w:rPr>
        <w:t xml:space="preserve"> S, </w:t>
      </w:r>
      <w:proofErr w:type="spellStart"/>
      <w:r>
        <w:rPr>
          <w:rFonts w:cstheme="minorHAnsi"/>
        </w:rPr>
        <w:t>Möller</w:t>
      </w:r>
      <w:proofErr w:type="spellEnd"/>
      <w:r>
        <w:rPr>
          <w:rFonts w:cstheme="minorHAnsi"/>
        </w:rPr>
        <w:t xml:space="preserve"> M, et al. </w:t>
      </w:r>
      <w:r w:rsidRPr="00A85EB6">
        <w:rPr>
          <w:rFonts w:cstheme="minorHAnsi"/>
          <w:lang w:val="en-GB"/>
        </w:rPr>
        <w:t xml:space="preserve">Validity of </w:t>
      </w:r>
      <w:proofErr w:type="spellStart"/>
      <w:r w:rsidRPr="00A85EB6">
        <w:rPr>
          <w:rFonts w:cstheme="minorHAnsi"/>
          <w:lang w:val="en-GB"/>
        </w:rPr>
        <w:t>humerus</w:t>
      </w:r>
      <w:proofErr w:type="spellEnd"/>
      <w:r w:rsidRPr="00A85EB6">
        <w:rPr>
          <w:rFonts w:cstheme="minorHAnsi"/>
          <w:lang w:val="en-GB"/>
        </w:rPr>
        <w:t xml:space="preserve"> fracture classification in the Swedish </w:t>
      </w:r>
      <w:r>
        <w:rPr>
          <w:rFonts w:cstheme="minorHAnsi"/>
          <w:lang w:val="en-GB"/>
        </w:rPr>
        <w:t xml:space="preserve">fracture register. </w:t>
      </w:r>
      <w:r w:rsidRPr="00A85EB6">
        <w:rPr>
          <w:i/>
        </w:rPr>
        <w:t xml:space="preserve">BMC </w:t>
      </w:r>
      <w:proofErr w:type="spellStart"/>
      <w:r w:rsidRPr="00A85EB6">
        <w:rPr>
          <w:i/>
        </w:rPr>
        <w:t>Musculoskelet</w:t>
      </w:r>
      <w:proofErr w:type="spellEnd"/>
      <w:r w:rsidRPr="00A85EB6">
        <w:rPr>
          <w:i/>
        </w:rPr>
        <w:t xml:space="preserve"> </w:t>
      </w:r>
      <w:proofErr w:type="spellStart"/>
      <w:r w:rsidRPr="00A85EB6">
        <w:rPr>
          <w:i/>
        </w:rPr>
        <w:t>Disord</w:t>
      </w:r>
      <w:proofErr w:type="spellEnd"/>
      <w:r w:rsidRPr="00A85EB6">
        <w:t xml:space="preserve"> 2017; 18: 251.</w:t>
      </w:r>
    </w:p>
    <w:p w14:paraId="520DEC2A" w14:textId="070B009B" w:rsidR="0011362C" w:rsidRDefault="00B33DD5" w:rsidP="005D57AB">
      <w:pPr>
        <w:spacing w:line="360" w:lineRule="auto"/>
        <w:rPr>
          <w:lang w:val="en-GB"/>
        </w:rPr>
      </w:pPr>
      <w:r w:rsidRPr="00B33DD5">
        <w:t>[33</w:t>
      </w:r>
      <w:r w:rsidR="0011362C" w:rsidRPr="00A85EB6">
        <w:t xml:space="preserve">] </w:t>
      </w:r>
      <w:proofErr w:type="spellStart"/>
      <w:r w:rsidR="0011362C" w:rsidRPr="00A85EB6">
        <w:t>Lexomboon</w:t>
      </w:r>
      <w:proofErr w:type="spellEnd"/>
      <w:r w:rsidR="0011362C" w:rsidRPr="00A85EB6">
        <w:t xml:space="preserve"> D, Carlson C, </w:t>
      </w:r>
      <w:r w:rsidR="00E441DE" w:rsidRPr="00A85EB6">
        <w:t>Anders</w:t>
      </w:r>
      <w:r w:rsidR="0011362C" w:rsidRPr="00A85EB6">
        <w:t xml:space="preserve">son R, et al. </w:t>
      </w:r>
      <w:r w:rsidR="00E441DE">
        <w:rPr>
          <w:lang w:val="en-GB"/>
        </w:rPr>
        <w:t xml:space="preserve">Incidence and causes of dental trauma in children living in the county of </w:t>
      </w:r>
      <w:proofErr w:type="spellStart"/>
      <w:r w:rsidR="00E441DE">
        <w:rPr>
          <w:lang w:val="en-GB"/>
        </w:rPr>
        <w:t>V</w:t>
      </w:r>
      <w:r w:rsidR="00E441DE">
        <w:rPr>
          <w:rFonts w:cstheme="minorHAnsi"/>
          <w:lang w:val="en-GB"/>
        </w:rPr>
        <w:t>ä</w:t>
      </w:r>
      <w:r w:rsidR="00E441DE">
        <w:rPr>
          <w:lang w:val="en-GB"/>
        </w:rPr>
        <w:t>rmland</w:t>
      </w:r>
      <w:proofErr w:type="spellEnd"/>
      <w:r w:rsidR="00E441DE">
        <w:rPr>
          <w:lang w:val="en-GB"/>
        </w:rPr>
        <w:t xml:space="preserve">, Sweden. </w:t>
      </w:r>
      <w:r w:rsidR="00E441DE" w:rsidRPr="00A85EB6">
        <w:rPr>
          <w:i/>
          <w:lang w:val="en-GB"/>
        </w:rPr>
        <w:t>Dental Traumatology</w:t>
      </w:r>
      <w:r w:rsidR="00E441DE">
        <w:rPr>
          <w:lang w:val="en-GB"/>
        </w:rPr>
        <w:t xml:space="preserve"> 2016; 32: 58-64.</w:t>
      </w:r>
    </w:p>
    <w:p w14:paraId="48BE1881" w14:textId="53924F28" w:rsidR="005D57AB" w:rsidRDefault="005D57AB" w:rsidP="005D57AB">
      <w:pPr>
        <w:spacing w:line="360" w:lineRule="auto"/>
        <w:rPr>
          <w:lang w:val="en-GB"/>
        </w:rPr>
      </w:pPr>
      <w:r>
        <w:rPr>
          <w:lang w:val="en-GB"/>
        </w:rPr>
        <w:t>[</w:t>
      </w:r>
      <w:r w:rsidR="00B33DD5">
        <w:rPr>
          <w:lang w:val="en-GB"/>
        </w:rPr>
        <w:t>34</w:t>
      </w:r>
      <w:r>
        <w:rPr>
          <w:lang w:val="en-GB"/>
        </w:rPr>
        <w:t xml:space="preserve">] Wood M, Lamberts H, Meijer JS, et al. The conversion between ICPC and ICD-10. Requirements for a family of classification systems in the next decade. </w:t>
      </w:r>
      <w:r>
        <w:rPr>
          <w:i/>
          <w:lang w:val="en-GB"/>
        </w:rPr>
        <w:t xml:space="preserve">Fam </w:t>
      </w:r>
      <w:proofErr w:type="spellStart"/>
      <w:r>
        <w:rPr>
          <w:i/>
          <w:lang w:val="en-GB"/>
        </w:rPr>
        <w:t>Pract</w:t>
      </w:r>
      <w:proofErr w:type="spellEnd"/>
      <w:r>
        <w:rPr>
          <w:lang w:val="en-GB"/>
        </w:rPr>
        <w:t xml:space="preserve"> 1992; 9: 340-348.</w:t>
      </w:r>
    </w:p>
    <w:p w14:paraId="2BFAD8A0" w14:textId="6B4DB76D" w:rsidR="005D57AB" w:rsidRPr="00850CD4" w:rsidRDefault="005D57AB" w:rsidP="005523AE">
      <w:pPr>
        <w:spacing w:line="360" w:lineRule="auto"/>
        <w:rPr>
          <w:lang w:val="en-GB"/>
        </w:rPr>
      </w:pPr>
    </w:p>
    <w:p w14:paraId="32BF3B31" w14:textId="6D4E8B6F" w:rsidR="005523AE" w:rsidRPr="00741120" w:rsidRDefault="005523AE" w:rsidP="005523AE">
      <w:pPr>
        <w:spacing w:line="360" w:lineRule="auto"/>
        <w:rPr>
          <w:lang w:val="en-GB"/>
        </w:rPr>
      </w:pPr>
    </w:p>
    <w:p w14:paraId="7344A390" w14:textId="690D3A94" w:rsidR="005523AE" w:rsidRDefault="005523AE" w:rsidP="005523AE">
      <w:pPr>
        <w:spacing w:line="360" w:lineRule="auto"/>
        <w:rPr>
          <w:lang w:val="en-GB"/>
        </w:rPr>
      </w:pPr>
    </w:p>
    <w:p w14:paraId="7D09AF7B" w14:textId="210A5DC3" w:rsidR="00B96767" w:rsidRPr="005523AE" w:rsidRDefault="00B96767" w:rsidP="008F16CE">
      <w:pPr>
        <w:spacing w:line="360" w:lineRule="auto"/>
        <w:rPr>
          <w:lang w:val="en-GB"/>
        </w:rPr>
      </w:pPr>
    </w:p>
    <w:p w14:paraId="7DB30C67" w14:textId="58EFC2DA" w:rsidR="008F16CE" w:rsidRPr="005523AE" w:rsidRDefault="008F16CE" w:rsidP="001575D2">
      <w:pPr>
        <w:spacing w:line="360" w:lineRule="auto"/>
        <w:rPr>
          <w:lang w:val="en-GB"/>
        </w:rPr>
      </w:pPr>
    </w:p>
    <w:p w14:paraId="112FFEEF" w14:textId="77777777" w:rsidR="001575D2" w:rsidRPr="005523AE" w:rsidRDefault="001575D2" w:rsidP="001575D2">
      <w:pPr>
        <w:spacing w:line="360" w:lineRule="auto"/>
        <w:rPr>
          <w:lang w:val="en-GB"/>
        </w:rPr>
      </w:pPr>
    </w:p>
    <w:p w14:paraId="7E02A50D" w14:textId="77777777" w:rsidR="009104DC" w:rsidRDefault="009104DC" w:rsidP="00B81A74">
      <w:pPr>
        <w:spacing w:line="360" w:lineRule="auto"/>
        <w:rPr>
          <w:lang w:val="en-GB"/>
        </w:rPr>
      </w:pPr>
    </w:p>
    <w:p w14:paraId="52F40B32" w14:textId="77777777" w:rsidR="000842E2" w:rsidRDefault="000842E2" w:rsidP="00B81A74">
      <w:pPr>
        <w:spacing w:line="360" w:lineRule="auto"/>
        <w:rPr>
          <w:lang w:val="en-GB"/>
        </w:rPr>
      </w:pPr>
    </w:p>
    <w:p w14:paraId="280CBA39" w14:textId="77777777" w:rsidR="009104DC" w:rsidRDefault="009104DC" w:rsidP="00B81A74">
      <w:pPr>
        <w:spacing w:line="360" w:lineRule="auto"/>
        <w:rPr>
          <w:lang w:val="en-GB"/>
        </w:rPr>
      </w:pPr>
    </w:p>
    <w:p w14:paraId="0B50EB16" w14:textId="77777777" w:rsidR="009104DC" w:rsidRDefault="009104DC" w:rsidP="00B81A74">
      <w:pPr>
        <w:spacing w:line="360" w:lineRule="auto"/>
        <w:rPr>
          <w:lang w:val="en-GB"/>
        </w:rPr>
      </w:pPr>
    </w:p>
    <w:p w14:paraId="3A575E52" w14:textId="01754E50" w:rsidR="009104DC" w:rsidRDefault="009104DC" w:rsidP="009104DC">
      <w:pPr>
        <w:rPr>
          <w:lang w:val="en-GB"/>
        </w:rPr>
      </w:pPr>
      <w:r w:rsidRPr="0021253F">
        <w:rPr>
          <w:b/>
          <w:lang w:val="en-GB"/>
        </w:rPr>
        <w:lastRenderedPageBreak/>
        <w:t xml:space="preserve">Table </w:t>
      </w:r>
      <w:r>
        <w:rPr>
          <w:b/>
          <w:lang w:val="en-GB"/>
        </w:rPr>
        <w:t>1</w:t>
      </w:r>
      <w:r>
        <w:rPr>
          <w:lang w:val="en-GB"/>
        </w:rPr>
        <w:t>: Mean annual number and percentage of injuries for patients treated in primary care (actual ICPC-2 codes) and s</w:t>
      </w:r>
      <w:r w:rsidR="00F66AAF">
        <w:rPr>
          <w:lang w:val="en-GB"/>
        </w:rPr>
        <w:t>econdary</w:t>
      </w:r>
      <w:r>
        <w:rPr>
          <w:lang w:val="en-GB"/>
        </w:rPr>
        <w:t xml:space="preserve"> care (converted ICPC-2 codes) by injury category, 2009-2014. </w:t>
      </w:r>
      <w:r w:rsidR="002038E3">
        <w:rPr>
          <w:lang w:val="en-GB"/>
        </w:rPr>
        <w:t xml:space="preserve">Note: ICPC-2 refers to the second edition of the </w:t>
      </w:r>
      <w:r w:rsidR="002038E3" w:rsidRPr="002038E3">
        <w:rPr>
          <w:i/>
          <w:lang w:val="en-GB"/>
        </w:rPr>
        <w:t>International Classification of Primary Care</w:t>
      </w:r>
      <w:r w:rsidR="002038E3">
        <w:rPr>
          <w:lang w:val="en-GB"/>
        </w:rPr>
        <w:t>.</w:t>
      </w:r>
    </w:p>
    <w:tbl>
      <w:tblPr>
        <w:tblW w:w="9629" w:type="dxa"/>
        <w:tblCellMar>
          <w:left w:w="0" w:type="dxa"/>
          <w:right w:w="0" w:type="dxa"/>
        </w:tblCellMar>
        <w:tblLook w:val="0420" w:firstRow="1" w:lastRow="0" w:firstColumn="0" w:lastColumn="0" w:noHBand="0" w:noVBand="1"/>
      </w:tblPr>
      <w:tblGrid>
        <w:gridCol w:w="3059"/>
        <w:gridCol w:w="1211"/>
        <w:gridCol w:w="1516"/>
        <w:gridCol w:w="1434"/>
        <w:gridCol w:w="2409"/>
      </w:tblGrid>
      <w:tr w:rsidR="009104DC" w:rsidRPr="00071496" w14:paraId="1AC66C1F" w14:textId="77777777" w:rsidTr="00B80FCB">
        <w:trPr>
          <w:trHeight w:val="449"/>
        </w:trPr>
        <w:tc>
          <w:tcPr>
            <w:tcW w:w="30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987AB37" w14:textId="77777777" w:rsidR="009104DC" w:rsidRPr="00D85260" w:rsidRDefault="009104DC" w:rsidP="00B80FCB">
            <w:pPr>
              <w:rPr>
                <w:lang w:val="en-GB"/>
              </w:rPr>
            </w:pPr>
            <w:r w:rsidRPr="00D85260">
              <w:rPr>
                <w:b/>
                <w:bCs/>
                <w:lang w:val="en-GB"/>
              </w:rPr>
              <w:t>I</w:t>
            </w:r>
            <w:r>
              <w:rPr>
                <w:b/>
                <w:bCs/>
                <w:lang w:val="en-GB"/>
              </w:rPr>
              <w:t>CPC-2 i</w:t>
            </w:r>
            <w:r w:rsidRPr="00D85260">
              <w:rPr>
                <w:b/>
                <w:bCs/>
                <w:lang w:val="en-GB"/>
              </w:rPr>
              <w:t>njury category</w:t>
            </w:r>
          </w:p>
        </w:tc>
        <w:tc>
          <w:tcPr>
            <w:tcW w:w="1211" w:type="dxa"/>
            <w:tcBorders>
              <w:top w:val="single" w:sz="8" w:space="0" w:color="FFFFFF"/>
              <w:left w:val="single" w:sz="8" w:space="0" w:color="FFFFFF"/>
              <w:bottom w:val="single" w:sz="24" w:space="0" w:color="FFFFFF"/>
              <w:right w:val="single" w:sz="8" w:space="0" w:color="FFFFFF"/>
            </w:tcBorders>
            <w:shd w:val="clear" w:color="auto" w:fill="4F81BD"/>
          </w:tcPr>
          <w:p w14:paraId="14C058D7" w14:textId="77777777" w:rsidR="009104DC" w:rsidRPr="00071496" w:rsidRDefault="009104DC" w:rsidP="00B80FCB">
            <w:pPr>
              <w:jc w:val="center"/>
              <w:rPr>
                <w:b/>
                <w:bCs/>
              </w:rPr>
            </w:pPr>
            <w:r>
              <w:rPr>
                <w:b/>
                <w:bCs/>
                <w:lang w:val="en-GB"/>
              </w:rPr>
              <w:t>Number of injuries</w:t>
            </w:r>
          </w:p>
        </w:tc>
        <w:tc>
          <w:tcPr>
            <w:tcW w:w="5359"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21CED40" w14:textId="77777777" w:rsidR="009104DC" w:rsidRPr="008228C9" w:rsidRDefault="009104DC" w:rsidP="00B80FCB">
            <w:pPr>
              <w:jc w:val="center"/>
              <w:rPr>
                <w:b/>
                <w:bCs/>
                <w:lang w:val="en-GB"/>
              </w:rPr>
            </w:pPr>
            <w:r w:rsidRPr="008228C9">
              <w:rPr>
                <w:b/>
                <w:bCs/>
                <w:lang w:val="en-GB"/>
              </w:rPr>
              <w:t>Percentage</w:t>
            </w:r>
          </w:p>
        </w:tc>
      </w:tr>
      <w:tr w:rsidR="009104DC" w:rsidRPr="005004EA" w14:paraId="5AEFF6DB" w14:textId="77777777" w:rsidTr="00B80FCB">
        <w:trPr>
          <w:trHeight w:val="449"/>
        </w:trPr>
        <w:tc>
          <w:tcPr>
            <w:tcW w:w="30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492E99C2" w14:textId="77777777" w:rsidR="009104DC" w:rsidRPr="00D85260" w:rsidRDefault="009104DC" w:rsidP="00B80FCB">
            <w:pPr>
              <w:rPr>
                <w:b/>
                <w:bCs/>
                <w:lang w:val="en-GB"/>
              </w:rPr>
            </w:pPr>
          </w:p>
        </w:tc>
        <w:tc>
          <w:tcPr>
            <w:tcW w:w="1211" w:type="dxa"/>
            <w:tcBorders>
              <w:top w:val="single" w:sz="8" w:space="0" w:color="FFFFFF"/>
              <w:left w:val="single" w:sz="8" w:space="0" w:color="FFFFFF"/>
              <w:bottom w:val="single" w:sz="24" w:space="0" w:color="FFFFFF"/>
              <w:right w:val="single" w:sz="8" w:space="0" w:color="FFFFFF"/>
            </w:tcBorders>
            <w:shd w:val="clear" w:color="auto" w:fill="4F81BD"/>
          </w:tcPr>
          <w:p w14:paraId="1BCD7FAB" w14:textId="77777777" w:rsidR="009104DC" w:rsidRDefault="009104DC" w:rsidP="00B80FCB">
            <w:pPr>
              <w:jc w:val="center"/>
              <w:rPr>
                <w:b/>
                <w:bCs/>
                <w:lang w:val="en-GB"/>
              </w:rPr>
            </w:pPr>
          </w:p>
        </w:tc>
        <w:tc>
          <w:tcPr>
            <w:tcW w:w="15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35A794F2" w14:textId="77777777" w:rsidR="009104DC" w:rsidRPr="008228C9" w:rsidRDefault="009104DC" w:rsidP="00B80FCB">
            <w:pPr>
              <w:jc w:val="center"/>
              <w:rPr>
                <w:b/>
                <w:bCs/>
                <w:lang w:val="en-GB"/>
              </w:rPr>
            </w:pPr>
            <w:r>
              <w:rPr>
                <w:b/>
                <w:bCs/>
                <w:lang w:val="en-GB"/>
              </w:rPr>
              <w:t>Exclusively primary care</w:t>
            </w:r>
          </w:p>
        </w:tc>
        <w:tc>
          <w:tcPr>
            <w:tcW w:w="1434" w:type="dxa"/>
            <w:tcBorders>
              <w:top w:val="single" w:sz="8" w:space="0" w:color="FFFFFF"/>
              <w:left w:val="single" w:sz="8" w:space="0" w:color="FFFFFF"/>
              <w:bottom w:val="single" w:sz="24" w:space="0" w:color="FFFFFF"/>
              <w:right w:val="single" w:sz="8" w:space="0" w:color="FFFFFF"/>
            </w:tcBorders>
            <w:shd w:val="clear" w:color="auto" w:fill="4F81BD"/>
          </w:tcPr>
          <w:p w14:paraId="7909C8E0" w14:textId="537267F0" w:rsidR="009104DC" w:rsidRPr="008228C9" w:rsidRDefault="009104DC" w:rsidP="00B80FCB">
            <w:pPr>
              <w:jc w:val="center"/>
              <w:rPr>
                <w:b/>
                <w:bCs/>
                <w:lang w:val="en-GB"/>
              </w:rPr>
            </w:pPr>
            <w:r>
              <w:rPr>
                <w:b/>
                <w:bCs/>
                <w:lang w:val="en-GB"/>
              </w:rPr>
              <w:t>Exclusively s</w:t>
            </w:r>
            <w:r w:rsidR="00F66AAF">
              <w:rPr>
                <w:b/>
                <w:bCs/>
                <w:lang w:val="en-GB"/>
              </w:rPr>
              <w:t>econdary</w:t>
            </w:r>
            <w:r>
              <w:rPr>
                <w:b/>
                <w:bCs/>
                <w:lang w:val="en-GB"/>
              </w:rPr>
              <w:t xml:space="preserve"> care</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Pr>
          <w:p w14:paraId="076C25BA" w14:textId="670A3DF9" w:rsidR="009104DC" w:rsidRPr="008228C9" w:rsidRDefault="009104DC" w:rsidP="00B80FCB">
            <w:pPr>
              <w:jc w:val="center"/>
              <w:rPr>
                <w:b/>
                <w:bCs/>
                <w:lang w:val="en-GB"/>
              </w:rPr>
            </w:pPr>
            <w:r>
              <w:rPr>
                <w:b/>
                <w:bCs/>
                <w:lang w:val="en-GB"/>
              </w:rPr>
              <w:t>Both primary and s</w:t>
            </w:r>
            <w:r w:rsidR="00F66AAF">
              <w:rPr>
                <w:b/>
                <w:bCs/>
                <w:lang w:val="en-GB"/>
              </w:rPr>
              <w:t>econdary</w:t>
            </w:r>
            <w:r>
              <w:rPr>
                <w:b/>
                <w:bCs/>
                <w:lang w:val="en-GB"/>
              </w:rPr>
              <w:t xml:space="preserve"> care</w:t>
            </w:r>
          </w:p>
        </w:tc>
      </w:tr>
      <w:tr w:rsidR="009104DC" w:rsidRPr="00F94B1B" w14:paraId="1C85123C" w14:textId="77777777" w:rsidTr="00B80FCB">
        <w:trPr>
          <w:trHeight w:val="375"/>
        </w:trPr>
        <w:tc>
          <w:tcPr>
            <w:tcW w:w="30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DE28CB" w14:textId="77777777" w:rsidR="009104DC" w:rsidRPr="00D85260" w:rsidRDefault="009104DC" w:rsidP="00B80FCB">
            <w:pPr>
              <w:rPr>
                <w:sz w:val="20"/>
                <w:szCs w:val="20"/>
                <w:lang w:val="en-GB"/>
              </w:rPr>
            </w:pPr>
            <w:r>
              <w:rPr>
                <w:b/>
                <w:bCs/>
                <w:sz w:val="20"/>
                <w:szCs w:val="20"/>
                <w:lang w:val="en-GB"/>
              </w:rPr>
              <w:t xml:space="preserve">Other superficial injuries (e.g., laceration/cut/ bite) </w:t>
            </w:r>
          </w:p>
        </w:tc>
        <w:tc>
          <w:tcPr>
            <w:tcW w:w="1211" w:type="dxa"/>
            <w:tcBorders>
              <w:top w:val="single" w:sz="24" w:space="0" w:color="FFFFFF"/>
              <w:left w:val="single" w:sz="8" w:space="0" w:color="FFFFFF"/>
              <w:bottom w:val="single" w:sz="8" w:space="0" w:color="FFFFFF"/>
              <w:right w:val="single" w:sz="8" w:space="0" w:color="FFFFFF"/>
            </w:tcBorders>
            <w:shd w:val="clear" w:color="auto" w:fill="D0D8E8"/>
          </w:tcPr>
          <w:p w14:paraId="5FCFC98A" w14:textId="77777777" w:rsidR="009104DC" w:rsidRPr="00F94B1B" w:rsidRDefault="009104DC" w:rsidP="00B80FCB">
            <w:pPr>
              <w:jc w:val="center"/>
              <w:rPr>
                <w:b/>
                <w:sz w:val="20"/>
                <w:szCs w:val="20"/>
                <w:lang w:val="en-GB"/>
              </w:rPr>
            </w:pPr>
            <w:r w:rsidRPr="00F94B1B">
              <w:rPr>
                <w:b/>
                <w:sz w:val="20"/>
                <w:szCs w:val="20"/>
                <w:lang w:val="en-GB"/>
              </w:rPr>
              <w:t>261 374</w:t>
            </w:r>
          </w:p>
        </w:tc>
        <w:tc>
          <w:tcPr>
            <w:tcW w:w="15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1738C26" w14:textId="77777777" w:rsidR="009104DC" w:rsidRPr="00F94B1B" w:rsidRDefault="009104DC" w:rsidP="00B80FCB">
            <w:pPr>
              <w:jc w:val="center"/>
              <w:rPr>
                <w:b/>
                <w:sz w:val="20"/>
                <w:szCs w:val="20"/>
                <w:lang w:val="en-GB"/>
              </w:rPr>
            </w:pPr>
            <w:r w:rsidRPr="00F94B1B">
              <w:rPr>
                <w:b/>
                <w:sz w:val="20"/>
                <w:szCs w:val="20"/>
                <w:lang w:val="en-GB"/>
              </w:rPr>
              <w:t>64.1</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Pr>
          <w:p w14:paraId="08D45F8E" w14:textId="77777777" w:rsidR="009104DC" w:rsidRPr="00F94B1B" w:rsidRDefault="009104DC" w:rsidP="00B80FCB">
            <w:pPr>
              <w:jc w:val="center"/>
              <w:rPr>
                <w:b/>
                <w:sz w:val="20"/>
                <w:szCs w:val="20"/>
                <w:lang w:val="en-GB"/>
              </w:rPr>
            </w:pPr>
            <w:r w:rsidRPr="00F94B1B">
              <w:rPr>
                <w:b/>
                <w:sz w:val="20"/>
                <w:szCs w:val="20"/>
                <w:lang w:val="en-GB"/>
              </w:rPr>
              <w:t>33.7</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Pr>
          <w:p w14:paraId="56628494" w14:textId="77777777" w:rsidR="009104DC" w:rsidRPr="00F94B1B" w:rsidRDefault="009104DC" w:rsidP="00B80FCB">
            <w:pPr>
              <w:jc w:val="center"/>
              <w:rPr>
                <w:b/>
                <w:sz w:val="20"/>
                <w:szCs w:val="20"/>
                <w:lang w:val="en-GB"/>
              </w:rPr>
            </w:pPr>
            <w:r w:rsidRPr="00F94B1B">
              <w:rPr>
                <w:b/>
                <w:sz w:val="20"/>
                <w:szCs w:val="20"/>
                <w:lang w:val="en-GB"/>
              </w:rPr>
              <w:t>2.2</w:t>
            </w:r>
          </w:p>
        </w:tc>
      </w:tr>
      <w:tr w:rsidR="009104DC" w:rsidRPr="00F94B1B" w14:paraId="6F3F3907" w14:textId="77777777" w:rsidTr="00B80FCB">
        <w:trPr>
          <w:trHeight w:val="360"/>
        </w:trPr>
        <w:tc>
          <w:tcPr>
            <w:tcW w:w="3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1953ED" w14:textId="77777777" w:rsidR="009104DC" w:rsidRPr="00D85260" w:rsidRDefault="009104DC" w:rsidP="00B80FCB">
            <w:pPr>
              <w:rPr>
                <w:sz w:val="20"/>
                <w:szCs w:val="20"/>
                <w:lang w:val="en-GB"/>
              </w:rPr>
            </w:pPr>
            <w:r w:rsidRPr="00D85260">
              <w:rPr>
                <w:b/>
                <w:bCs/>
                <w:sz w:val="20"/>
                <w:szCs w:val="20"/>
                <w:lang w:val="en-GB"/>
              </w:rPr>
              <w:t>Sprains/strains/dislocations</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Pr>
          <w:p w14:paraId="3EB5738E" w14:textId="77777777" w:rsidR="009104DC" w:rsidRPr="00F94B1B" w:rsidRDefault="009104DC" w:rsidP="00B80FCB">
            <w:pPr>
              <w:jc w:val="center"/>
              <w:rPr>
                <w:b/>
                <w:sz w:val="20"/>
                <w:szCs w:val="20"/>
                <w:lang w:val="en-GB"/>
              </w:rPr>
            </w:pPr>
            <w:r w:rsidRPr="00F94B1B">
              <w:rPr>
                <w:b/>
                <w:sz w:val="20"/>
                <w:szCs w:val="20"/>
                <w:lang w:val="en-GB"/>
              </w:rPr>
              <w:t>197 434</w:t>
            </w:r>
          </w:p>
        </w:tc>
        <w:tc>
          <w:tcPr>
            <w:tcW w:w="15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21EDADD" w14:textId="77777777" w:rsidR="009104DC" w:rsidRPr="00F94B1B" w:rsidRDefault="009104DC" w:rsidP="00B80FCB">
            <w:pPr>
              <w:jc w:val="center"/>
              <w:rPr>
                <w:b/>
                <w:sz w:val="20"/>
                <w:szCs w:val="20"/>
                <w:lang w:val="en-GB"/>
              </w:rPr>
            </w:pPr>
            <w:r w:rsidRPr="00F94B1B">
              <w:rPr>
                <w:b/>
                <w:sz w:val="20"/>
                <w:szCs w:val="20"/>
                <w:lang w:val="en-GB"/>
              </w:rPr>
              <w:t>68.3</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Pr>
          <w:p w14:paraId="04BF26AE" w14:textId="77777777" w:rsidR="009104DC" w:rsidRPr="00F94B1B" w:rsidRDefault="009104DC" w:rsidP="00B80FCB">
            <w:pPr>
              <w:jc w:val="center"/>
              <w:rPr>
                <w:b/>
                <w:sz w:val="20"/>
                <w:szCs w:val="20"/>
                <w:lang w:val="en-GB"/>
              </w:rPr>
            </w:pPr>
            <w:r w:rsidRPr="00F94B1B">
              <w:rPr>
                <w:b/>
                <w:sz w:val="20"/>
                <w:szCs w:val="20"/>
                <w:lang w:val="en-GB"/>
              </w:rPr>
              <w:t>26.6</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Pr>
          <w:p w14:paraId="343BA53F" w14:textId="77777777" w:rsidR="009104DC" w:rsidRPr="00F94B1B" w:rsidRDefault="009104DC" w:rsidP="00B80FCB">
            <w:pPr>
              <w:jc w:val="center"/>
              <w:rPr>
                <w:b/>
                <w:sz w:val="20"/>
                <w:szCs w:val="20"/>
                <w:lang w:val="en-GB"/>
              </w:rPr>
            </w:pPr>
            <w:r w:rsidRPr="00F94B1B">
              <w:rPr>
                <w:b/>
                <w:sz w:val="20"/>
                <w:szCs w:val="20"/>
                <w:lang w:val="en-GB"/>
              </w:rPr>
              <w:t>5.1</w:t>
            </w:r>
          </w:p>
        </w:tc>
      </w:tr>
      <w:tr w:rsidR="009104DC" w:rsidRPr="00F94B1B" w14:paraId="677FA696" w14:textId="77777777" w:rsidTr="00B80FCB">
        <w:trPr>
          <w:trHeight w:val="482"/>
        </w:trPr>
        <w:tc>
          <w:tcPr>
            <w:tcW w:w="3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7BA4E5" w14:textId="77777777" w:rsidR="009104DC" w:rsidRPr="00D85260" w:rsidRDefault="009104DC" w:rsidP="00B80FCB">
            <w:pPr>
              <w:rPr>
                <w:sz w:val="20"/>
                <w:szCs w:val="20"/>
                <w:lang w:val="en-GB"/>
              </w:rPr>
            </w:pPr>
            <w:r w:rsidRPr="00D85260">
              <w:rPr>
                <w:b/>
                <w:bCs/>
                <w:sz w:val="20"/>
                <w:szCs w:val="20"/>
                <w:lang w:val="en-GB"/>
              </w:rPr>
              <w:t xml:space="preserve">Fractures </w:t>
            </w:r>
          </w:p>
        </w:tc>
        <w:tc>
          <w:tcPr>
            <w:tcW w:w="1211" w:type="dxa"/>
            <w:tcBorders>
              <w:top w:val="single" w:sz="8" w:space="0" w:color="FFFFFF"/>
              <w:left w:val="single" w:sz="8" w:space="0" w:color="FFFFFF"/>
              <w:bottom w:val="single" w:sz="8" w:space="0" w:color="FFFFFF"/>
              <w:right w:val="single" w:sz="8" w:space="0" w:color="FFFFFF"/>
            </w:tcBorders>
            <w:shd w:val="clear" w:color="auto" w:fill="D0D8E8"/>
          </w:tcPr>
          <w:p w14:paraId="0D71E001" w14:textId="77777777" w:rsidR="009104DC" w:rsidRPr="00F94B1B" w:rsidRDefault="009104DC" w:rsidP="00B80FCB">
            <w:pPr>
              <w:jc w:val="center"/>
              <w:rPr>
                <w:b/>
                <w:sz w:val="20"/>
                <w:szCs w:val="20"/>
                <w:lang w:val="en-GB"/>
              </w:rPr>
            </w:pPr>
            <w:r w:rsidRPr="00F94B1B">
              <w:rPr>
                <w:b/>
                <w:sz w:val="20"/>
                <w:szCs w:val="20"/>
                <w:lang w:val="en-GB"/>
              </w:rPr>
              <w:t>157 703</w:t>
            </w:r>
          </w:p>
        </w:tc>
        <w:tc>
          <w:tcPr>
            <w:tcW w:w="15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4AB2EAC" w14:textId="77777777" w:rsidR="009104DC" w:rsidRPr="00F94B1B" w:rsidRDefault="009104DC" w:rsidP="00B80FCB">
            <w:pPr>
              <w:jc w:val="center"/>
              <w:rPr>
                <w:b/>
                <w:sz w:val="20"/>
                <w:szCs w:val="20"/>
                <w:lang w:val="en-GB"/>
              </w:rPr>
            </w:pPr>
            <w:r w:rsidRPr="00F94B1B">
              <w:rPr>
                <w:b/>
                <w:sz w:val="20"/>
                <w:szCs w:val="20"/>
                <w:lang w:val="en-GB"/>
              </w:rPr>
              <w:t>31.3</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Pr>
          <w:p w14:paraId="162A720D" w14:textId="77777777" w:rsidR="009104DC" w:rsidRPr="00F94B1B" w:rsidRDefault="009104DC" w:rsidP="00B80FCB">
            <w:pPr>
              <w:jc w:val="center"/>
              <w:rPr>
                <w:b/>
                <w:sz w:val="20"/>
                <w:szCs w:val="20"/>
                <w:lang w:val="en-GB"/>
              </w:rPr>
            </w:pPr>
            <w:r w:rsidRPr="00F94B1B">
              <w:rPr>
                <w:b/>
                <w:sz w:val="20"/>
                <w:szCs w:val="20"/>
                <w:lang w:val="en-GB"/>
              </w:rPr>
              <w:t>47.8</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Pr>
          <w:p w14:paraId="75660FF8" w14:textId="77777777" w:rsidR="009104DC" w:rsidRPr="00F94B1B" w:rsidRDefault="009104DC" w:rsidP="00B80FCB">
            <w:pPr>
              <w:jc w:val="center"/>
              <w:rPr>
                <w:b/>
                <w:sz w:val="20"/>
                <w:szCs w:val="20"/>
                <w:lang w:val="en-GB"/>
              </w:rPr>
            </w:pPr>
            <w:r w:rsidRPr="00F94B1B">
              <w:rPr>
                <w:b/>
                <w:sz w:val="20"/>
                <w:szCs w:val="20"/>
                <w:lang w:val="en-GB"/>
              </w:rPr>
              <w:t>20.9</w:t>
            </w:r>
          </w:p>
        </w:tc>
      </w:tr>
      <w:tr w:rsidR="009104DC" w:rsidRPr="007150AD" w14:paraId="26067ABA" w14:textId="77777777" w:rsidTr="00B80FCB">
        <w:trPr>
          <w:trHeight w:val="378"/>
        </w:trPr>
        <w:tc>
          <w:tcPr>
            <w:tcW w:w="3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26AE52" w14:textId="77777777" w:rsidR="009104DC" w:rsidRPr="00D85260" w:rsidRDefault="009104DC" w:rsidP="00B80FCB">
            <w:pPr>
              <w:rPr>
                <w:sz w:val="20"/>
                <w:szCs w:val="20"/>
                <w:lang w:val="en-GB"/>
              </w:rPr>
            </w:pPr>
            <w:r>
              <w:rPr>
                <w:b/>
                <w:bCs/>
                <w:sz w:val="20"/>
                <w:szCs w:val="20"/>
                <w:lang w:val="en-GB"/>
              </w:rPr>
              <w:t xml:space="preserve">Other miscellaneous </w:t>
            </w:r>
            <w:r w:rsidRPr="00D85260">
              <w:rPr>
                <w:b/>
                <w:bCs/>
                <w:sz w:val="20"/>
                <w:szCs w:val="20"/>
                <w:lang w:val="en-GB"/>
              </w:rPr>
              <w:t xml:space="preserve">injuries </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Pr>
          <w:p w14:paraId="11FA53DD" w14:textId="77777777" w:rsidR="009104DC" w:rsidRPr="0021253F" w:rsidRDefault="009104DC" w:rsidP="00B80FCB">
            <w:pPr>
              <w:jc w:val="center"/>
              <w:rPr>
                <w:b/>
                <w:sz w:val="20"/>
                <w:szCs w:val="20"/>
              </w:rPr>
            </w:pPr>
            <w:r>
              <w:rPr>
                <w:b/>
                <w:sz w:val="20"/>
                <w:szCs w:val="20"/>
              </w:rPr>
              <w:t>52 327</w:t>
            </w:r>
          </w:p>
        </w:tc>
        <w:tc>
          <w:tcPr>
            <w:tcW w:w="15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B6FF11E" w14:textId="77777777" w:rsidR="009104DC" w:rsidRPr="0021253F" w:rsidRDefault="009104DC" w:rsidP="00B80FCB">
            <w:pPr>
              <w:jc w:val="center"/>
              <w:rPr>
                <w:b/>
                <w:sz w:val="20"/>
                <w:szCs w:val="20"/>
              </w:rPr>
            </w:pPr>
            <w:r>
              <w:rPr>
                <w:b/>
                <w:sz w:val="20"/>
                <w:szCs w:val="20"/>
              </w:rPr>
              <w:t>76.6</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Pr>
          <w:p w14:paraId="2081EFB5" w14:textId="77777777" w:rsidR="009104DC" w:rsidRDefault="009104DC" w:rsidP="00B80FCB">
            <w:pPr>
              <w:jc w:val="center"/>
              <w:rPr>
                <w:b/>
                <w:sz w:val="20"/>
                <w:szCs w:val="20"/>
              </w:rPr>
            </w:pPr>
            <w:r>
              <w:rPr>
                <w:b/>
                <w:sz w:val="20"/>
                <w:szCs w:val="20"/>
              </w:rPr>
              <w:t>19.1</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Pr>
          <w:p w14:paraId="33D5A422" w14:textId="77777777" w:rsidR="009104DC" w:rsidRDefault="009104DC" w:rsidP="00B80FCB">
            <w:pPr>
              <w:jc w:val="center"/>
              <w:rPr>
                <w:b/>
                <w:sz w:val="20"/>
                <w:szCs w:val="20"/>
              </w:rPr>
            </w:pPr>
            <w:r>
              <w:rPr>
                <w:b/>
                <w:sz w:val="20"/>
                <w:szCs w:val="20"/>
              </w:rPr>
              <w:t>4.3</w:t>
            </w:r>
          </w:p>
        </w:tc>
      </w:tr>
      <w:tr w:rsidR="009104DC" w:rsidRPr="007150AD" w14:paraId="638C1B66" w14:textId="77777777" w:rsidTr="00B80FCB">
        <w:trPr>
          <w:trHeight w:val="357"/>
        </w:trPr>
        <w:tc>
          <w:tcPr>
            <w:tcW w:w="3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19F0B42" w14:textId="77777777" w:rsidR="009104DC" w:rsidRPr="00D85260" w:rsidRDefault="009104DC" w:rsidP="00B80FCB">
            <w:pPr>
              <w:rPr>
                <w:b/>
                <w:bCs/>
                <w:sz w:val="20"/>
                <w:szCs w:val="20"/>
                <w:lang w:val="en-GB"/>
              </w:rPr>
            </w:pPr>
            <w:r>
              <w:rPr>
                <w:b/>
                <w:bCs/>
                <w:sz w:val="20"/>
                <w:szCs w:val="20"/>
                <w:lang w:val="en-GB"/>
              </w:rPr>
              <w:t>Head injury</w:t>
            </w:r>
          </w:p>
        </w:tc>
        <w:tc>
          <w:tcPr>
            <w:tcW w:w="1211" w:type="dxa"/>
            <w:tcBorders>
              <w:top w:val="single" w:sz="8" w:space="0" w:color="FFFFFF"/>
              <w:left w:val="single" w:sz="8" w:space="0" w:color="FFFFFF"/>
              <w:bottom w:val="single" w:sz="8" w:space="0" w:color="FFFFFF"/>
              <w:right w:val="single" w:sz="8" w:space="0" w:color="FFFFFF"/>
            </w:tcBorders>
            <w:shd w:val="clear" w:color="auto" w:fill="D0D8E8"/>
          </w:tcPr>
          <w:p w14:paraId="2D7FCD14" w14:textId="77777777" w:rsidR="009104DC" w:rsidRPr="0021253F" w:rsidRDefault="009104DC" w:rsidP="00B80FCB">
            <w:pPr>
              <w:jc w:val="center"/>
              <w:rPr>
                <w:b/>
                <w:bCs/>
                <w:sz w:val="20"/>
                <w:szCs w:val="20"/>
              </w:rPr>
            </w:pPr>
            <w:r>
              <w:rPr>
                <w:b/>
                <w:bCs/>
                <w:sz w:val="20"/>
                <w:szCs w:val="20"/>
              </w:rPr>
              <w:t>41 140</w:t>
            </w:r>
          </w:p>
        </w:tc>
        <w:tc>
          <w:tcPr>
            <w:tcW w:w="15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AEB3389" w14:textId="77777777" w:rsidR="009104DC" w:rsidRPr="0021253F" w:rsidRDefault="009104DC" w:rsidP="00B80FCB">
            <w:pPr>
              <w:jc w:val="center"/>
              <w:rPr>
                <w:b/>
                <w:bCs/>
                <w:sz w:val="20"/>
                <w:szCs w:val="20"/>
              </w:rPr>
            </w:pPr>
            <w:r>
              <w:rPr>
                <w:b/>
                <w:bCs/>
                <w:sz w:val="20"/>
                <w:szCs w:val="20"/>
              </w:rPr>
              <w:t>63.2</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Pr>
          <w:p w14:paraId="4C24DC3F" w14:textId="77777777" w:rsidR="009104DC" w:rsidRDefault="009104DC" w:rsidP="00B80FCB">
            <w:pPr>
              <w:jc w:val="center"/>
              <w:rPr>
                <w:b/>
                <w:bCs/>
                <w:sz w:val="20"/>
                <w:szCs w:val="20"/>
              </w:rPr>
            </w:pPr>
            <w:r>
              <w:rPr>
                <w:b/>
                <w:bCs/>
                <w:sz w:val="20"/>
                <w:szCs w:val="20"/>
              </w:rPr>
              <w:t>25.1</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Pr>
          <w:p w14:paraId="3D222FAF" w14:textId="77777777" w:rsidR="009104DC" w:rsidRDefault="009104DC" w:rsidP="00B80FCB">
            <w:pPr>
              <w:jc w:val="center"/>
              <w:rPr>
                <w:b/>
                <w:bCs/>
                <w:sz w:val="20"/>
                <w:szCs w:val="20"/>
              </w:rPr>
            </w:pPr>
            <w:r>
              <w:rPr>
                <w:b/>
                <w:bCs/>
                <w:sz w:val="20"/>
                <w:szCs w:val="20"/>
              </w:rPr>
              <w:t>11.7</w:t>
            </w:r>
          </w:p>
        </w:tc>
      </w:tr>
      <w:tr w:rsidR="009104DC" w:rsidRPr="00D57FB8" w14:paraId="03E0A8E6" w14:textId="77777777" w:rsidTr="00B80FCB">
        <w:trPr>
          <w:trHeight w:val="500"/>
        </w:trPr>
        <w:tc>
          <w:tcPr>
            <w:tcW w:w="3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103F532" w14:textId="77777777" w:rsidR="009104DC" w:rsidRPr="00D85260" w:rsidRDefault="009104DC" w:rsidP="00B80FCB">
            <w:pPr>
              <w:rPr>
                <w:b/>
                <w:bCs/>
                <w:sz w:val="20"/>
                <w:szCs w:val="20"/>
                <w:lang w:val="en-GB"/>
              </w:rPr>
            </w:pPr>
            <w:r w:rsidRPr="00D85260">
              <w:rPr>
                <w:b/>
                <w:bCs/>
                <w:sz w:val="20"/>
                <w:szCs w:val="20"/>
                <w:lang w:val="en-GB"/>
              </w:rPr>
              <w:t>Eye injury</w:t>
            </w:r>
            <w:r>
              <w:rPr>
                <w:b/>
                <w:bCs/>
                <w:sz w:val="20"/>
                <w:szCs w:val="20"/>
                <w:lang w:val="en-GB"/>
              </w:rPr>
              <w:t xml:space="preserve"> </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Pr>
          <w:p w14:paraId="5FE22A2C" w14:textId="77777777" w:rsidR="009104DC" w:rsidRPr="0021253F" w:rsidRDefault="009104DC" w:rsidP="00B80FCB">
            <w:pPr>
              <w:jc w:val="center"/>
              <w:rPr>
                <w:b/>
                <w:bCs/>
                <w:sz w:val="20"/>
                <w:szCs w:val="20"/>
                <w:lang w:val="en-GB"/>
              </w:rPr>
            </w:pPr>
            <w:r>
              <w:rPr>
                <w:b/>
                <w:bCs/>
                <w:sz w:val="20"/>
                <w:szCs w:val="20"/>
                <w:lang w:val="en-GB"/>
              </w:rPr>
              <w:t>28 887</w:t>
            </w:r>
          </w:p>
        </w:tc>
        <w:tc>
          <w:tcPr>
            <w:tcW w:w="15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278BDDE" w14:textId="77777777" w:rsidR="009104DC" w:rsidRPr="0021253F" w:rsidRDefault="009104DC" w:rsidP="00B80FCB">
            <w:pPr>
              <w:jc w:val="center"/>
              <w:rPr>
                <w:b/>
                <w:bCs/>
                <w:sz w:val="20"/>
                <w:szCs w:val="20"/>
                <w:lang w:val="en-GB"/>
              </w:rPr>
            </w:pPr>
            <w:r>
              <w:rPr>
                <w:b/>
                <w:bCs/>
                <w:sz w:val="20"/>
                <w:szCs w:val="20"/>
                <w:lang w:val="en-GB"/>
              </w:rPr>
              <w:t>79.0</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Pr>
          <w:p w14:paraId="6D18A5FE" w14:textId="77777777" w:rsidR="009104DC" w:rsidRDefault="009104DC" w:rsidP="00B80FCB">
            <w:pPr>
              <w:jc w:val="center"/>
              <w:rPr>
                <w:b/>
                <w:bCs/>
                <w:sz w:val="20"/>
                <w:szCs w:val="20"/>
                <w:lang w:val="en-GB"/>
              </w:rPr>
            </w:pPr>
            <w:r>
              <w:rPr>
                <w:b/>
                <w:bCs/>
                <w:sz w:val="20"/>
                <w:szCs w:val="20"/>
                <w:lang w:val="en-GB"/>
              </w:rPr>
              <w:t>15.6</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Pr>
          <w:p w14:paraId="65A4F1E4" w14:textId="77777777" w:rsidR="009104DC" w:rsidRDefault="009104DC" w:rsidP="00B80FCB">
            <w:pPr>
              <w:jc w:val="center"/>
              <w:rPr>
                <w:b/>
                <w:bCs/>
                <w:sz w:val="20"/>
                <w:szCs w:val="20"/>
                <w:lang w:val="en-GB"/>
              </w:rPr>
            </w:pPr>
            <w:r>
              <w:rPr>
                <w:b/>
                <w:bCs/>
                <w:sz w:val="20"/>
                <w:szCs w:val="20"/>
                <w:lang w:val="en-GB"/>
              </w:rPr>
              <w:t>5.4</w:t>
            </w:r>
          </w:p>
        </w:tc>
      </w:tr>
      <w:tr w:rsidR="009104DC" w:rsidRPr="00D57FB8" w14:paraId="0016C1B4" w14:textId="77777777" w:rsidTr="00B80FCB">
        <w:trPr>
          <w:trHeight w:val="431"/>
        </w:trPr>
        <w:tc>
          <w:tcPr>
            <w:tcW w:w="3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CBC36B3" w14:textId="77777777" w:rsidR="009104DC" w:rsidRPr="00D85260" w:rsidRDefault="009104DC" w:rsidP="00B80FCB">
            <w:pPr>
              <w:rPr>
                <w:b/>
                <w:bCs/>
                <w:sz w:val="20"/>
                <w:szCs w:val="20"/>
                <w:lang w:val="en-GB"/>
              </w:rPr>
            </w:pPr>
            <w:r w:rsidRPr="00D85260">
              <w:rPr>
                <w:b/>
                <w:bCs/>
                <w:sz w:val="20"/>
                <w:szCs w:val="20"/>
                <w:lang w:val="en-GB"/>
              </w:rPr>
              <w:t>Burns/scalds</w:t>
            </w:r>
          </w:p>
        </w:tc>
        <w:tc>
          <w:tcPr>
            <w:tcW w:w="1211" w:type="dxa"/>
            <w:tcBorders>
              <w:top w:val="single" w:sz="8" w:space="0" w:color="FFFFFF"/>
              <w:left w:val="single" w:sz="8" w:space="0" w:color="FFFFFF"/>
              <w:bottom w:val="single" w:sz="8" w:space="0" w:color="FFFFFF"/>
              <w:right w:val="single" w:sz="8" w:space="0" w:color="FFFFFF"/>
            </w:tcBorders>
            <w:shd w:val="clear" w:color="auto" w:fill="D0D8E8"/>
          </w:tcPr>
          <w:p w14:paraId="3B8B653E" w14:textId="77777777" w:rsidR="009104DC" w:rsidRPr="00D57FB8" w:rsidRDefault="009104DC" w:rsidP="00B80FCB">
            <w:pPr>
              <w:jc w:val="center"/>
              <w:rPr>
                <w:b/>
                <w:bCs/>
                <w:sz w:val="20"/>
                <w:szCs w:val="20"/>
                <w:lang w:val="en-GB"/>
              </w:rPr>
            </w:pPr>
            <w:r>
              <w:rPr>
                <w:b/>
                <w:bCs/>
                <w:sz w:val="20"/>
                <w:szCs w:val="20"/>
                <w:lang w:val="en-GB"/>
              </w:rPr>
              <w:t>12 947</w:t>
            </w:r>
          </w:p>
        </w:tc>
        <w:tc>
          <w:tcPr>
            <w:tcW w:w="15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DB7CACC" w14:textId="77777777" w:rsidR="009104DC" w:rsidRPr="00D57FB8" w:rsidRDefault="009104DC" w:rsidP="00B80FCB">
            <w:pPr>
              <w:jc w:val="center"/>
              <w:rPr>
                <w:b/>
                <w:bCs/>
                <w:sz w:val="20"/>
                <w:szCs w:val="20"/>
                <w:lang w:val="en-GB"/>
              </w:rPr>
            </w:pPr>
            <w:r>
              <w:rPr>
                <w:b/>
                <w:bCs/>
                <w:sz w:val="20"/>
                <w:szCs w:val="20"/>
                <w:lang w:val="en-GB"/>
              </w:rPr>
              <w:t>75.2</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Pr>
          <w:p w14:paraId="3EEBD4B1" w14:textId="77777777" w:rsidR="009104DC" w:rsidRDefault="009104DC" w:rsidP="00B80FCB">
            <w:pPr>
              <w:jc w:val="center"/>
              <w:rPr>
                <w:b/>
                <w:bCs/>
                <w:sz w:val="20"/>
                <w:szCs w:val="20"/>
                <w:lang w:val="en-GB"/>
              </w:rPr>
            </w:pPr>
            <w:r>
              <w:rPr>
                <w:b/>
                <w:bCs/>
                <w:sz w:val="20"/>
                <w:szCs w:val="20"/>
                <w:lang w:val="en-GB"/>
              </w:rPr>
              <w:t>14.5</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Pr>
          <w:p w14:paraId="784B6962" w14:textId="77777777" w:rsidR="009104DC" w:rsidRDefault="009104DC" w:rsidP="00B80FCB">
            <w:pPr>
              <w:jc w:val="center"/>
              <w:rPr>
                <w:b/>
                <w:bCs/>
                <w:sz w:val="20"/>
                <w:szCs w:val="20"/>
                <w:lang w:val="en-GB"/>
              </w:rPr>
            </w:pPr>
            <w:r>
              <w:rPr>
                <w:b/>
                <w:bCs/>
                <w:sz w:val="20"/>
                <w:szCs w:val="20"/>
                <w:lang w:val="en-GB"/>
              </w:rPr>
              <w:t>10.2</w:t>
            </w:r>
          </w:p>
        </w:tc>
      </w:tr>
      <w:tr w:rsidR="009104DC" w:rsidRPr="00D57FB8" w14:paraId="35D52754" w14:textId="77777777" w:rsidTr="00B80FCB">
        <w:trPr>
          <w:trHeight w:val="525"/>
        </w:trPr>
        <w:tc>
          <w:tcPr>
            <w:tcW w:w="3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411B57D" w14:textId="77777777" w:rsidR="009104DC" w:rsidRPr="00D85260" w:rsidRDefault="009104DC" w:rsidP="00B80FCB">
            <w:pPr>
              <w:rPr>
                <w:b/>
                <w:bCs/>
                <w:sz w:val="20"/>
                <w:szCs w:val="20"/>
                <w:lang w:val="en-GB"/>
              </w:rPr>
            </w:pPr>
            <w:r w:rsidRPr="00D85260">
              <w:rPr>
                <w:b/>
                <w:bCs/>
                <w:sz w:val="20"/>
                <w:szCs w:val="20"/>
                <w:lang w:val="en-GB"/>
              </w:rPr>
              <w:t>Poisoning</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Pr>
          <w:p w14:paraId="366C3E80" w14:textId="77777777" w:rsidR="009104DC" w:rsidRPr="00D57FB8" w:rsidRDefault="009104DC" w:rsidP="00B80FCB">
            <w:pPr>
              <w:jc w:val="center"/>
              <w:rPr>
                <w:b/>
                <w:bCs/>
                <w:sz w:val="20"/>
                <w:szCs w:val="20"/>
                <w:lang w:val="en-GB"/>
              </w:rPr>
            </w:pPr>
            <w:r>
              <w:rPr>
                <w:b/>
                <w:bCs/>
                <w:sz w:val="20"/>
                <w:szCs w:val="20"/>
                <w:lang w:val="en-GB"/>
              </w:rPr>
              <w:t>10 694</w:t>
            </w:r>
          </w:p>
        </w:tc>
        <w:tc>
          <w:tcPr>
            <w:tcW w:w="15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1A67D92" w14:textId="77777777" w:rsidR="009104DC" w:rsidRPr="00D57FB8" w:rsidRDefault="009104DC" w:rsidP="00B80FCB">
            <w:pPr>
              <w:jc w:val="center"/>
              <w:rPr>
                <w:b/>
                <w:bCs/>
                <w:sz w:val="20"/>
                <w:szCs w:val="20"/>
                <w:lang w:val="en-GB"/>
              </w:rPr>
            </w:pPr>
            <w:r>
              <w:rPr>
                <w:b/>
                <w:bCs/>
                <w:sz w:val="20"/>
                <w:szCs w:val="20"/>
                <w:lang w:val="en-GB"/>
              </w:rPr>
              <w:t>45.2</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Pr>
          <w:p w14:paraId="1B2C4633" w14:textId="77777777" w:rsidR="009104DC" w:rsidRPr="00D57FB8" w:rsidRDefault="009104DC" w:rsidP="00B80FCB">
            <w:pPr>
              <w:jc w:val="center"/>
              <w:rPr>
                <w:b/>
                <w:bCs/>
                <w:sz w:val="20"/>
                <w:szCs w:val="20"/>
                <w:lang w:val="en-GB"/>
              </w:rPr>
            </w:pPr>
            <w:r>
              <w:rPr>
                <w:b/>
                <w:bCs/>
                <w:sz w:val="20"/>
                <w:szCs w:val="20"/>
                <w:lang w:val="en-GB"/>
              </w:rPr>
              <w:t>40.0</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Pr>
          <w:p w14:paraId="0C8DC542" w14:textId="77777777" w:rsidR="009104DC" w:rsidRPr="00D57FB8" w:rsidRDefault="009104DC" w:rsidP="00B80FCB">
            <w:pPr>
              <w:jc w:val="center"/>
              <w:rPr>
                <w:b/>
                <w:bCs/>
                <w:sz w:val="20"/>
                <w:szCs w:val="20"/>
                <w:lang w:val="en-GB"/>
              </w:rPr>
            </w:pPr>
            <w:r>
              <w:rPr>
                <w:b/>
                <w:bCs/>
                <w:sz w:val="20"/>
                <w:szCs w:val="20"/>
                <w:lang w:val="en-GB"/>
              </w:rPr>
              <w:t>14.8</w:t>
            </w:r>
          </w:p>
        </w:tc>
      </w:tr>
      <w:tr w:rsidR="009104DC" w:rsidRPr="00D57FB8" w14:paraId="4AD56EA6" w14:textId="77777777" w:rsidTr="00B80FCB">
        <w:trPr>
          <w:trHeight w:val="468"/>
        </w:trPr>
        <w:tc>
          <w:tcPr>
            <w:tcW w:w="3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D529DC0" w14:textId="77777777" w:rsidR="009104DC" w:rsidRPr="00D85260" w:rsidRDefault="009104DC" w:rsidP="00B80FCB">
            <w:pPr>
              <w:rPr>
                <w:b/>
                <w:bCs/>
                <w:sz w:val="20"/>
                <w:szCs w:val="20"/>
                <w:lang w:val="en-GB"/>
              </w:rPr>
            </w:pPr>
            <w:r w:rsidRPr="00D85260">
              <w:rPr>
                <w:b/>
                <w:bCs/>
                <w:sz w:val="20"/>
                <w:szCs w:val="20"/>
                <w:lang w:val="en-GB"/>
              </w:rPr>
              <w:t>Ear injury</w:t>
            </w:r>
          </w:p>
        </w:tc>
        <w:tc>
          <w:tcPr>
            <w:tcW w:w="1211" w:type="dxa"/>
            <w:tcBorders>
              <w:top w:val="single" w:sz="8" w:space="0" w:color="FFFFFF"/>
              <w:left w:val="single" w:sz="8" w:space="0" w:color="FFFFFF"/>
              <w:bottom w:val="single" w:sz="8" w:space="0" w:color="FFFFFF"/>
              <w:right w:val="single" w:sz="8" w:space="0" w:color="FFFFFF"/>
            </w:tcBorders>
            <w:shd w:val="clear" w:color="auto" w:fill="D0D8E8"/>
          </w:tcPr>
          <w:p w14:paraId="757ABF97" w14:textId="77777777" w:rsidR="009104DC" w:rsidRPr="0021253F" w:rsidRDefault="009104DC" w:rsidP="00B80FCB">
            <w:pPr>
              <w:jc w:val="center"/>
              <w:rPr>
                <w:b/>
                <w:bCs/>
                <w:sz w:val="20"/>
                <w:szCs w:val="20"/>
                <w:lang w:val="en-GB"/>
              </w:rPr>
            </w:pPr>
            <w:r>
              <w:rPr>
                <w:b/>
                <w:bCs/>
                <w:sz w:val="20"/>
                <w:szCs w:val="20"/>
                <w:lang w:val="en-GB"/>
              </w:rPr>
              <w:t>5 340</w:t>
            </w:r>
          </w:p>
        </w:tc>
        <w:tc>
          <w:tcPr>
            <w:tcW w:w="15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114F2D4" w14:textId="77777777" w:rsidR="009104DC" w:rsidRPr="0021253F" w:rsidRDefault="009104DC" w:rsidP="00B80FCB">
            <w:pPr>
              <w:jc w:val="center"/>
              <w:rPr>
                <w:b/>
                <w:bCs/>
                <w:sz w:val="20"/>
                <w:szCs w:val="20"/>
                <w:lang w:val="en-GB"/>
              </w:rPr>
            </w:pPr>
            <w:r>
              <w:rPr>
                <w:b/>
                <w:bCs/>
                <w:sz w:val="20"/>
                <w:szCs w:val="20"/>
                <w:lang w:val="en-GB"/>
              </w:rPr>
              <w:t>77.2</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Pr>
          <w:p w14:paraId="1BB462F2" w14:textId="77777777" w:rsidR="009104DC" w:rsidRDefault="009104DC" w:rsidP="00B80FCB">
            <w:pPr>
              <w:jc w:val="center"/>
              <w:rPr>
                <w:b/>
                <w:bCs/>
                <w:sz w:val="20"/>
                <w:szCs w:val="20"/>
                <w:lang w:val="en-GB"/>
              </w:rPr>
            </w:pPr>
            <w:r>
              <w:rPr>
                <w:b/>
                <w:bCs/>
                <w:sz w:val="20"/>
                <w:szCs w:val="20"/>
                <w:lang w:val="en-GB"/>
              </w:rPr>
              <w:t>15.8</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Pr>
          <w:p w14:paraId="72448CAB" w14:textId="77777777" w:rsidR="009104DC" w:rsidRDefault="009104DC" w:rsidP="00B80FCB">
            <w:pPr>
              <w:jc w:val="center"/>
              <w:rPr>
                <w:b/>
                <w:bCs/>
                <w:sz w:val="20"/>
                <w:szCs w:val="20"/>
                <w:lang w:val="en-GB"/>
              </w:rPr>
            </w:pPr>
            <w:r>
              <w:rPr>
                <w:b/>
                <w:bCs/>
                <w:sz w:val="20"/>
                <w:szCs w:val="20"/>
                <w:lang w:val="en-GB"/>
              </w:rPr>
              <w:t>7.1</w:t>
            </w:r>
          </w:p>
        </w:tc>
      </w:tr>
      <w:tr w:rsidR="009104DC" w:rsidRPr="00D57FB8" w14:paraId="4DFEEEB0" w14:textId="77777777" w:rsidTr="00B80FCB">
        <w:trPr>
          <w:trHeight w:val="525"/>
        </w:trPr>
        <w:tc>
          <w:tcPr>
            <w:tcW w:w="3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902B589" w14:textId="77777777" w:rsidR="009104DC" w:rsidRPr="00D85260" w:rsidRDefault="009104DC" w:rsidP="00B80FCB">
            <w:pPr>
              <w:rPr>
                <w:b/>
                <w:bCs/>
                <w:sz w:val="20"/>
                <w:szCs w:val="20"/>
                <w:lang w:val="en-GB"/>
              </w:rPr>
            </w:pPr>
            <w:r>
              <w:rPr>
                <w:b/>
                <w:bCs/>
                <w:sz w:val="20"/>
                <w:szCs w:val="20"/>
                <w:lang w:val="en-GB"/>
              </w:rPr>
              <w:t>Total</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Pr>
          <w:p w14:paraId="77FB43CC" w14:textId="77777777" w:rsidR="009104DC" w:rsidRPr="0021253F" w:rsidRDefault="009104DC" w:rsidP="00B80FCB">
            <w:pPr>
              <w:jc w:val="center"/>
              <w:rPr>
                <w:b/>
                <w:bCs/>
                <w:sz w:val="20"/>
                <w:szCs w:val="20"/>
                <w:lang w:val="en-GB"/>
              </w:rPr>
            </w:pPr>
            <w:r>
              <w:rPr>
                <w:b/>
                <w:bCs/>
                <w:sz w:val="20"/>
                <w:szCs w:val="20"/>
                <w:lang w:val="en-GB"/>
              </w:rPr>
              <w:t>767 845</w:t>
            </w:r>
          </w:p>
        </w:tc>
        <w:tc>
          <w:tcPr>
            <w:tcW w:w="15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D64F333" w14:textId="77777777" w:rsidR="009104DC" w:rsidRPr="0021253F" w:rsidRDefault="009104DC" w:rsidP="00B80FCB">
            <w:pPr>
              <w:jc w:val="center"/>
              <w:rPr>
                <w:b/>
                <w:bCs/>
                <w:sz w:val="20"/>
                <w:szCs w:val="20"/>
                <w:lang w:val="en-GB"/>
              </w:rPr>
            </w:pPr>
            <w:r>
              <w:rPr>
                <w:b/>
                <w:bCs/>
                <w:sz w:val="20"/>
                <w:szCs w:val="20"/>
                <w:lang w:val="en-GB"/>
              </w:rPr>
              <w:t>59.8</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Pr>
          <w:p w14:paraId="24D2E2BE" w14:textId="77777777" w:rsidR="009104DC" w:rsidRPr="0021253F" w:rsidRDefault="009104DC" w:rsidP="00B80FCB">
            <w:pPr>
              <w:jc w:val="center"/>
              <w:rPr>
                <w:b/>
                <w:bCs/>
                <w:sz w:val="20"/>
                <w:szCs w:val="20"/>
                <w:lang w:val="en-GB"/>
              </w:rPr>
            </w:pPr>
            <w:r>
              <w:rPr>
                <w:b/>
                <w:bCs/>
                <w:sz w:val="20"/>
                <w:szCs w:val="20"/>
                <w:lang w:val="en-GB"/>
              </w:rPr>
              <w:t>32.3</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Pr>
          <w:p w14:paraId="49514633" w14:textId="77777777" w:rsidR="009104DC" w:rsidRPr="0021253F" w:rsidRDefault="009104DC" w:rsidP="00B80FCB">
            <w:pPr>
              <w:jc w:val="center"/>
              <w:rPr>
                <w:b/>
                <w:bCs/>
                <w:sz w:val="20"/>
                <w:szCs w:val="20"/>
                <w:lang w:val="en-GB"/>
              </w:rPr>
            </w:pPr>
            <w:r>
              <w:rPr>
                <w:b/>
                <w:bCs/>
                <w:sz w:val="20"/>
                <w:szCs w:val="20"/>
                <w:lang w:val="en-GB"/>
              </w:rPr>
              <w:t>7.9</w:t>
            </w:r>
          </w:p>
        </w:tc>
      </w:tr>
    </w:tbl>
    <w:p w14:paraId="775E4FBB" w14:textId="77777777" w:rsidR="000842E2" w:rsidRDefault="000842E2" w:rsidP="00B81A74">
      <w:pPr>
        <w:spacing w:line="360" w:lineRule="auto"/>
        <w:rPr>
          <w:lang w:val="en-GB"/>
        </w:rPr>
      </w:pPr>
    </w:p>
    <w:p w14:paraId="5B337A57" w14:textId="77777777" w:rsidR="000842E2" w:rsidRDefault="000842E2" w:rsidP="00B81A74">
      <w:pPr>
        <w:spacing w:line="360" w:lineRule="auto"/>
        <w:rPr>
          <w:lang w:val="en-GB"/>
        </w:rPr>
      </w:pPr>
    </w:p>
    <w:p w14:paraId="60E932E5" w14:textId="03B14E2E" w:rsidR="000842E2" w:rsidRPr="0027655A" w:rsidRDefault="0027655A" w:rsidP="00B81A74">
      <w:pPr>
        <w:spacing w:line="360" w:lineRule="auto"/>
        <w:rPr>
          <w:b/>
          <w:lang w:val="en-GB"/>
        </w:rPr>
      </w:pPr>
      <w:r w:rsidRPr="0027655A">
        <w:rPr>
          <w:b/>
          <w:lang w:val="en-GB"/>
        </w:rPr>
        <w:t>FIGURE CAPTIONS</w:t>
      </w:r>
    </w:p>
    <w:p w14:paraId="5DC06C4E" w14:textId="1B9DD08C" w:rsidR="00102ADE" w:rsidRDefault="00102ADE" w:rsidP="000842E2">
      <w:pPr>
        <w:rPr>
          <w:lang w:val="en-GB"/>
        </w:rPr>
      </w:pPr>
      <w:r>
        <w:rPr>
          <w:b/>
          <w:lang w:val="en-GB"/>
        </w:rPr>
        <w:t>Figure 1</w:t>
      </w:r>
      <w:r>
        <w:rPr>
          <w:lang w:val="en-GB"/>
        </w:rPr>
        <w:t>: Annual age-standardised incidence rates (injured patients per 1000 inhabitants) in the period 2009-2014. Note</w:t>
      </w:r>
      <w:r w:rsidR="00D246CB">
        <w:rPr>
          <w:lang w:val="en-GB"/>
        </w:rPr>
        <w:t xml:space="preserve">: </w:t>
      </w:r>
      <w:r>
        <w:rPr>
          <w:lang w:val="en-GB"/>
        </w:rPr>
        <w:t>patients who received treatment in bot</w:t>
      </w:r>
      <w:r w:rsidR="00D246CB">
        <w:rPr>
          <w:lang w:val="en-GB"/>
        </w:rPr>
        <w:t>h primary and s</w:t>
      </w:r>
      <w:r w:rsidR="00F66AAF">
        <w:rPr>
          <w:lang w:val="en-GB"/>
        </w:rPr>
        <w:t>econdary</w:t>
      </w:r>
      <w:r w:rsidR="00D246CB">
        <w:rPr>
          <w:lang w:val="en-GB"/>
        </w:rPr>
        <w:t xml:space="preserve"> care </w:t>
      </w:r>
      <w:r w:rsidR="00ED436E">
        <w:rPr>
          <w:lang w:val="en-GB"/>
        </w:rPr>
        <w:t xml:space="preserve">within one calendar year </w:t>
      </w:r>
      <w:r w:rsidR="00D246CB">
        <w:rPr>
          <w:lang w:val="en-GB"/>
        </w:rPr>
        <w:t>a</w:t>
      </w:r>
      <w:r>
        <w:rPr>
          <w:lang w:val="en-GB"/>
        </w:rPr>
        <w:t>re included in both categories.</w:t>
      </w:r>
    </w:p>
    <w:p w14:paraId="786F0A69" w14:textId="049A5C07" w:rsidR="00DF3136" w:rsidRDefault="00DF3136" w:rsidP="00DF3136">
      <w:pPr>
        <w:rPr>
          <w:lang w:val="en-GB"/>
        </w:rPr>
      </w:pPr>
      <w:r>
        <w:rPr>
          <w:b/>
          <w:lang w:val="en-GB"/>
        </w:rPr>
        <w:t xml:space="preserve">Figure </w:t>
      </w:r>
      <w:r w:rsidR="00D246CB">
        <w:rPr>
          <w:b/>
          <w:lang w:val="en-GB"/>
        </w:rPr>
        <w:t>2</w:t>
      </w:r>
      <w:r w:rsidR="00D246CB">
        <w:rPr>
          <w:lang w:val="en-GB"/>
        </w:rPr>
        <w:t xml:space="preserve">: Mean annual </w:t>
      </w:r>
      <w:r>
        <w:rPr>
          <w:lang w:val="en-GB"/>
        </w:rPr>
        <w:t>incidence rates</w:t>
      </w:r>
      <w:r w:rsidR="00D246CB">
        <w:rPr>
          <w:lang w:val="en-GB"/>
        </w:rPr>
        <w:t xml:space="preserve"> (injured patients per 1000 inhabitants) in the period</w:t>
      </w:r>
      <w:r>
        <w:rPr>
          <w:lang w:val="en-GB"/>
        </w:rPr>
        <w:t xml:space="preserve"> 2009-2014 by age</w:t>
      </w:r>
      <w:r w:rsidR="00D246CB">
        <w:rPr>
          <w:lang w:val="en-GB"/>
        </w:rPr>
        <w:t>, genders combined</w:t>
      </w:r>
      <w:r>
        <w:rPr>
          <w:lang w:val="en-GB"/>
        </w:rPr>
        <w:t xml:space="preserve">. </w:t>
      </w:r>
      <w:r w:rsidR="00D246CB">
        <w:rPr>
          <w:lang w:val="en-GB"/>
        </w:rPr>
        <w:t xml:space="preserve">Note: </w:t>
      </w:r>
      <w:r w:rsidR="008E41C7">
        <w:rPr>
          <w:lang w:val="en-GB"/>
        </w:rPr>
        <w:t>p</w:t>
      </w:r>
      <w:r>
        <w:rPr>
          <w:lang w:val="en-GB"/>
        </w:rPr>
        <w:t>atients who received treatment for injuries in both primary and s</w:t>
      </w:r>
      <w:r w:rsidR="00F66AAF">
        <w:rPr>
          <w:lang w:val="en-GB"/>
        </w:rPr>
        <w:t>econdary</w:t>
      </w:r>
      <w:r>
        <w:rPr>
          <w:lang w:val="en-GB"/>
        </w:rPr>
        <w:t xml:space="preserve"> care within </w:t>
      </w:r>
      <w:r w:rsidR="002038E3">
        <w:rPr>
          <w:lang w:val="en-GB"/>
        </w:rPr>
        <w:t>one</w:t>
      </w:r>
      <w:r>
        <w:rPr>
          <w:lang w:val="en-GB"/>
        </w:rPr>
        <w:t xml:space="preserve"> calendar year </w:t>
      </w:r>
      <w:proofErr w:type="gramStart"/>
      <w:r>
        <w:rPr>
          <w:lang w:val="en-GB"/>
        </w:rPr>
        <w:t>are counted</w:t>
      </w:r>
      <w:proofErr w:type="gramEnd"/>
      <w:r>
        <w:rPr>
          <w:lang w:val="en-GB"/>
        </w:rPr>
        <w:t xml:space="preserve"> </w:t>
      </w:r>
      <w:r w:rsidR="002038E3">
        <w:rPr>
          <w:lang w:val="en-GB"/>
        </w:rPr>
        <w:t>only under secondary care</w:t>
      </w:r>
      <w:r>
        <w:rPr>
          <w:lang w:val="en-GB"/>
        </w:rPr>
        <w:t>.</w:t>
      </w:r>
    </w:p>
    <w:p w14:paraId="2C598C35" w14:textId="46B04D69" w:rsidR="00CA72D2" w:rsidRDefault="00353478" w:rsidP="00CA72D2">
      <w:pPr>
        <w:rPr>
          <w:lang w:val="en-GB"/>
        </w:rPr>
      </w:pPr>
      <w:r>
        <w:rPr>
          <w:b/>
          <w:lang w:val="en-GB"/>
        </w:rPr>
        <w:t>Figure 3</w:t>
      </w:r>
      <w:r w:rsidR="00D246CB">
        <w:rPr>
          <w:lang w:val="en-GB"/>
        </w:rPr>
        <w:t xml:space="preserve">: Mean annual </w:t>
      </w:r>
      <w:r w:rsidR="00CA72D2">
        <w:rPr>
          <w:lang w:val="en-GB"/>
        </w:rPr>
        <w:t>incidence rates</w:t>
      </w:r>
      <w:r w:rsidR="00D246CB">
        <w:rPr>
          <w:lang w:val="en-GB"/>
        </w:rPr>
        <w:t xml:space="preserve"> (injured patients per 1000 inhabitants) in the period</w:t>
      </w:r>
      <w:r w:rsidR="00CA72D2">
        <w:rPr>
          <w:lang w:val="en-GB"/>
        </w:rPr>
        <w:t xml:space="preserve"> 2009-2014 by age and gen</w:t>
      </w:r>
      <w:r w:rsidR="00D246CB">
        <w:rPr>
          <w:lang w:val="en-GB"/>
        </w:rPr>
        <w:t>der</w:t>
      </w:r>
      <w:r w:rsidR="00CA72D2">
        <w:rPr>
          <w:lang w:val="en-GB"/>
        </w:rPr>
        <w:t xml:space="preserve">. </w:t>
      </w:r>
      <w:r w:rsidR="00D246CB">
        <w:rPr>
          <w:lang w:val="en-GB"/>
        </w:rPr>
        <w:t xml:space="preserve">Note: </w:t>
      </w:r>
      <w:r w:rsidR="008E41C7">
        <w:rPr>
          <w:lang w:val="en-GB"/>
        </w:rPr>
        <w:t>p</w:t>
      </w:r>
      <w:r w:rsidR="00CA72D2">
        <w:rPr>
          <w:lang w:val="en-GB"/>
        </w:rPr>
        <w:t>atients who received treatment for injuries in both primary and s</w:t>
      </w:r>
      <w:r w:rsidR="00F66AAF">
        <w:rPr>
          <w:lang w:val="en-GB"/>
        </w:rPr>
        <w:t>econdary</w:t>
      </w:r>
      <w:r w:rsidR="00CA72D2">
        <w:rPr>
          <w:lang w:val="en-GB"/>
        </w:rPr>
        <w:t xml:space="preserve"> care within </w:t>
      </w:r>
      <w:r w:rsidR="002038E3">
        <w:rPr>
          <w:lang w:val="en-GB"/>
        </w:rPr>
        <w:t>one</w:t>
      </w:r>
      <w:r w:rsidR="00CA72D2">
        <w:rPr>
          <w:lang w:val="en-GB"/>
        </w:rPr>
        <w:t xml:space="preserve"> calendar year </w:t>
      </w:r>
      <w:proofErr w:type="gramStart"/>
      <w:r w:rsidR="00CA72D2">
        <w:rPr>
          <w:lang w:val="en-GB"/>
        </w:rPr>
        <w:t>are counted</w:t>
      </w:r>
      <w:proofErr w:type="gramEnd"/>
      <w:r w:rsidR="00CA72D2">
        <w:rPr>
          <w:lang w:val="en-GB"/>
        </w:rPr>
        <w:t xml:space="preserve"> </w:t>
      </w:r>
      <w:r w:rsidR="002038E3">
        <w:rPr>
          <w:lang w:val="en-GB"/>
        </w:rPr>
        <w:t>only under secondary care</w:t>
      </w:r>
      <w:r w:rsidR="00CA72D2">
        <w:rPr>
          <w:lang w:val="en-GB"/>
        </w:rPr>
        <w:t>.</w:t>
      </w:r>
    </w:p>
    <w:p w14:paraId="643B2F24" w14:textId="43961274" w:rsidR="00001EF1" w:rsidRDefault="00001EF1">
      <w:pPr>
        <w:rPr>
          <w:lang w:val="en-GB"/>
        </w:rPr>
      </w:pPr>
      <w:r>
        <w:rPr>
          <w:lang w:val="en-GB"/>
        </w:rPr>
        <w:br w:type="page"/>
      </w:r>
    </w:p>
    <w:p w14:paraId="6F4EBBB6" w14:textId="7C6EA300" w:rsidR="00CA72D2" w:rsidRDefault="00001EF1" w:rsidP="00CA72D2">
      <w:pPr>
        <w:rPr>
          <w:lang w:val="en-GB"/>
        </w:rPr>
      </w:pPr>
      <w:r>
        <w:rPr>
          <w:lang w:val="en-GB"/>
        </w:rPr>
        <w:lastRenderedPageBreak/>
        <w:t>Figure 1</w:t>
      </w:r>
    </w:p>
    <w:p w14:paraId="3A843193" w14:textId="61CA03BE" w:rsidR="00001EF1" w:rsidRDefault="00001EF1" w:rsidP="00CA72D2">
      <w:pPr>
        <w:rPr>
          <w:lang w:val="en-GB"/>
        </w:rPr>
      </w:pPr>
      <w:r>
        <w:rPr>
          <w:noProof/>
          <w:lang w:eastAsia="nb-NO"/>
        </w:rPr>
        <w:drawing>
          <wp:inline distT="0" distB="0" distL="0" distR="0" wp14:anchorId="1DFE69A4" wp14:editId="44277558">
            <wp:extent cx="4754880" cy="2628900"/>
            <wp:effectExtent l="0" t="0" r="762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DE2104" w14:textId="3C1C1F18" w:rsidR="00001EF1" w:rsidRDefault="00001EF1">
      <w:pPr>
        <w:rPr>
          <w:lang w:val="en-GB"/>
        </w:rPr>
      </w:pPr>
      <w:r>
        <w:rPr>
          <w:lang w:val="en-GB"/>
        </w:rPr>
        <w:br w:type="page"/>
      </w:r>
    </w:p>
    <w:p w14:paraId="1DE1B808" w14:textId="66DB538B" w:rsidR="00001EF1" w:rsidRDefault="00001EF1" w:rsidP="00CA72D2">
      <w:pPr>
        <w:rPr>
          <w:lang w:val="en-GB"/>
        </w:rPr>
      </w:pPr>
      <w:r>
        <w:rPr>
          <w:lang w:val="en-GB"/>
        </w:rPr>
        <w:lastRenderedPageBreak/>
        <w:t>Figure 2</w:t>
      </w:r>
    </w:p>
    <w:p w14:paraId="775DDC5A" w14:textId="678D51A9" w:rsidR="00001EF1" w:rsidRDefault="00001EF1" w:rsidP="00CA72D2">
      <w:pPr>
        <w:rPr>
          <w:lang w:val="en-GB"/>
        </w:rPr>
      </w:pPr>
      <w:r>
        <w:rPr>
          <w:noProof/>
          <w:lang w:eastAsia="nb-NO"/>
        </w:rPr>
        <w:drawing>
          <wp:inline distT="0" distB="0" distL="0" distR="0" wp14:anchorId="3382B31C" wp14:editId="381E1689">
            <wp:extent cx="5326380" cy="3402330"/>
            <wp:effectExtent l="0" t="0" r="7620" b="762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3CCB8B" w14:textId="60FA0B62" w:rsidR="00001EF1" w:rsidRDefault="00001EF1">
      <w:pPr>
        <w:rPr>
          <w:lang w:val="en-GB"/>
        </w:rPr>
      </w:pPr>
      <w:r>
        <w:rPr>
          <w:lang w:val="en-GB"/>
        </w:rPr>
        <w:br w:type="page"/>
      </w:r>
    </w:p>
    <w:p w14:paraId="73939ADF" w14:textId="795EDBB2" w:rsidR="00CA72D2" w:rsidRDefault="00001EF1" w:rsidP="00CA72D2">
      <w:pPr>
        <w:rPr>
          <w:lang w:val="en-GB"/>
        </w:rPr>
      </w:pPr>
      <w:r>
        <w:rPr>
          <w:lang w:val="en-GB"/>
        </w:rPr>
        <w:t>Figure 3</w:t>
      </w:r>
    </w:p>
    <w:p w14:paraId="00A948EA" w14:textId="2CA47E39" w:rsidR="00001EF1" w:rsidRPr="00CA72D2" w:rsidRDefault="00001EF1" w:rsidP="00CA72D2">
      <w:pPr>
        <w:rPr>
          <w:lang w:val="en-GB"/>
        </w:rPr>
      </w:pPr>
      <w:r>
        <w:rPr>
          <w:noProof/>
          <w:lang w:eastAsia="nb-NO"/>
        </w:rPr>
        <w:drawing>
          <wp:inline distT="0" distB="0" distL="0" distR="0" wp14:anchorId="3D8B175D" wp14:editId="1C0C2FA4">
            <wp:extent cx="5646420" cy="3909060"/>
            <wp:effectExtent l="0" t="0" r="11430" b="1524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sectPr w:rsidR="00001EF1" w:rsidRPr="00CA72D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4A22" w14:textId="77777777" w:rsidR="00B80FCB" w:rsidRDefault="00B80FCB" w:rsidP="002B2B4C">
      <w:pPr>
        <w:spacing w:after="0" w:line="240" w:lineRule="auto"/>
      </w:pPr>
      <w:r>
        <w:separator/>
      </w:r>
    </w:p>
  </w:endnote>
  <w:endnote w:type="continuationSeparator" w:id="0">
    <w:p w14:paraId="5B2AA550" w14:textId="77777777" w:rsidR="00B80FCB" w:rsidRDefault="00B80FCB" w:rsidP="002B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345178"/>
      <w:docPartObj>
        <w:docPartGallery w:val="Page Numbers (Bottom of Page)"/>
        <w:docPartUnique/>
      </w:docPartObj>
    </w:sdtPr>
    <w:sdtEndPr/>
    <w:sdtContent>
      <w:p w14:paraId="3CC66268" w14:textId="77C2796F" w:rsidR="00B80FCB" w:rsidRDefault="00B80FCB">
        <w:pPr>
          <w:pStyle w:val="Bunntekst"/>
          <w:jc w:val="center"/>
        </w:pPr>
        <w:r>
          <w:fldChar w:fldCharType="begin"/>
        </w:r>
        <w:r>
          <w:instrText>PAGE   \* MERGEFORMAT</w:instrText>
        </w:r>
        <w:r>
          <w:fldChar w:fldCharType="separate"/>
        </w:r>
        <w:r w:rsidR="00001EF1">
          <w:rPr>
            <w:noProof/>
          </w:rPr>
          <w:t>21</w:t>
        </w:r>
        <w:r>
          <w:fldChar w:fldCharType="end"/>
        </w:r>
      </w:p>
    </w:sdtContent>
  </w:sdt>
  <w:p w14:paraId="1959114E" w14:textId="77777777" w:rsidR="00B80FCB" w:rsidRDefault="00B80FC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C2A2" w14:textId="77777777" w:rsidR="00B80FCB" w:rsidRDefault="00B80FCB" w:rsidP="002B2B4C">
      <w:pPr>
        <w:spacing w:after="0" w:line="240" w:lineRule="auto"/>
      </w:pPr>
      <w:r>
        <w:separator/>
      </w:r>
    </w:p>
  </w:footnote>
  <w:footnote w:type="continuationSeparator" w:id="0">
    <w:p w14:paraId="6447D43A" w14:textId="77777777" w:rsidR="00B80FCB" w:rsidRDefault="00B80FCB" w:rsidP="002B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A4450"/>
    <w:multiLevelType w:val="hybridMultilevel"/>
    <w:tmpl w:val="464089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A02310"/>
    <w:multiLevelType w:val="hybridMultilevel"/>
    <w:tmpl w:val="DA581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A58463C"/>
    <w:multiLevelType w:val="hybridMultilevel"/>
    <w:tmpl w:val="81CC0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87"/>
    <w:rsid w:val="00000F82"/>
    <w:rsid w:val="00001D07"/>
    <w:rsid w:val="00001EF1"/>
    <w:rsid w:val="000035B5"/>
    <w:rsid w:val="000057DE"/>
    <w:rsid w:val="000059D2"/>
    <w:rsid w:val="0001076A"/>
    <w:rsid w:val="0001283A"/>
    <w:rsid w:val="000149B5"/>
    <w:rsid w:val="00015668"/>
    <w:rsid w:val="00015AEC"/>
    <w:rsid w:val="000176AE"/>
    <w:rsid w:val="000202C7"/>
    <w:rsid w:val="00020A85"/>
    <w:rsid w:val="000259FA"/>
    <w:rsid w:val="00027052"/>
    <w:rsid w:val="00030E48"/>
    <w:rsid w:val="00034B46"/>
    <w:rsid w:val="00036F27"/>
    <w:rsid w:val="00037CA5"/>
    <w:rsid w:val="00040ED5"/>
    <w:rsid w:val="0004127A"/>
    <w:rsid w:val="000434A2"/>
    <w:rsid w:val="000439AA"/>
    <w:rsid w:val="0004709B"/>
    <w:rsid w:val="00047AFB"/>
    <w:rsid w:val="00052945"/>
    <w:rsid w:val="00054BCC"/>
    <w:rsid w:val="00064F57"/>
    <w:rsid w:val="000705F7"/>
    <w:rsid w:val="000711BB"/>
    <w:rsid w:val="00071496"/>
    <w:rsid w:val="000716C6"/>
    <w:rsid w:val="00071804"/>
    <w:rsid w:val="0007360A"/>
    <w:rsid w:val="00074206"/>
    <w:rsid w:val="00080ECC"/>
    <w:rsid w:val="00083355"/>
    <w:rsid w:val="000842E2"/>
    <w:rsid w:val="00084354"/>
    <w:rsid w:val="00084509"/>
    <w:rsid w:val="00087AB9"/>
    <w:rsid w:val="00087E8F"/>
    <w:rsid w:val="0009468A"/>
    <w:rsid w:val="00094C51"/>
    <w:rsid w:val="000A2E7D"/>
    <w:rsid w:val="000A2FAA"/>
    <w:rsid w:val="000A48E4"/>
    <w:rsid w:val="000A56D1"/>
    <w:rsid w:val="000A723D"/>
    <w:rsid w:val="000B190F"/>
    <w:rsid w:val="000B19AB"/>
    <w:rsid w:val="000B368C"/>
    <w:rsid w:val="000B5586"/>
    <w:rsid w:val="000B5D2A"/>
    <w:rsid w:val="000B764C"/>
    <w:rsid w:val="000C1602"/>
    <w:rsid w:val="000C20E7"/>
    <w:rsid w:val="000C40B2"/>
    <w:rsid w:val="000C4D51"/>
    <w:rsid w:val="000C4F8D"/>
    <w:rsid w:val="000C5E64"/>
    <w:rsid w:val="000C6707"/>
    <w:rsid w:val="000C6F42"/>
    <w:rsid w:val="000C7C27"/>
    <w:rsid w:val="000D25FC"/>
    <w:rsid w:val="000D2C64"/>
    <w:rsid w:val="000D6FA1"/>
    <w:rsid w:val="000E0DFD"/>
    <w:rsid w:val="000E2C04"/>
    <w:rsid w:val="000E3554"/>
    <w:rsid w:val="000E3C83"/>
    <w:rsid w:val="000E69BD"/>
    <w:rsid w:val="000E75D7"/>
    <w:rsid w:val="000F19C7"/>
    <w:rsid w:val="000F2749"/>
    <w:rsid w:val="000F4253"/>
    <w:rsid w:val="000F467F"/>
    <w:rsid w:val="000F6285"/>
    <w:rsid w:val="00100A29"/>
    <w:rsid w:val="00100BFB"/>
    <w:rsid w:val="00102ADE"/>
    <w:rsid w:val="00102FD8"/>
    <w:rsid w:val="0010300E"/>
    <w:rsid w:val="001036CC"/>
    <w:rsid w:val="00103A69"/>
    <w:rsid w:val="00104336"/>
    <w:rsid w:val="0010475A"/>
    <w:rsid w:val="0010564C"/>
    <w:rsid w:val="00105871"/>
    <w:rsid w:val="001061AE"/>
    <w:rsid w:val="001078A5"/>
    <w:rsid w:val="001105AB"/>
    <w:rsid w:val="0011362C"/>
    <w:rsid w:val="001136FE"/>
    <w:rsid w:val="001158F2"/>
    <w:rsid w:val="0011624A"/>
    <w:rsid w:val="001170EE"/>
    <w:rsid w:val="00123506"/>
    <w:rsid w:val="001333A4"/>
    <w:rsid w:val="0013395C"/>
    <w:rsid w:val="00134B61"/>
    <w:rsid w:val="001359F2"/>
    <w:rsid w:val="00135F7E"/>
    <w:rsid w:val="00142094"/>
    <w:rsid w:val="001421BF"/>
    <w:rsid w:val="00142C6A"/>
    <w:rsid w:val="0014430E"/>
    <w:rsid w:val="001476AD"/>
    <w:rsid w:val="00154800"/>
    <w:rsid w:val="00154AE3"/>
    <w:rsid w:val="00156E27"/>
    <w:rsid w:val="001575D2"/>
    <w:rsid w:val="00157A5D"/>
    <w:rsid w:val="001620DE"/>
    <w:rsid w:val="001644DF"/>
    <w:rsid w:val="001645B4"/>
    <w:rsid w:val="001660E4"/>
    <w:rsid w:val="001666D5"/>
    <w:rsid w:val="00171BE0"/>
    <w:rsid w:val="00177861"/>
    <w:rsid w:val="00177BD2"/>
    <w:rsid w:val="001821E6"/>
    <w:rsid w:val="0018512E"/>
    <w:rsid w:val="001863CD"/>
    <w:rsid w:val="00190BC2"/>
    <w:rsid w:val="00194348"/>
    <w:rsid w:val="00194E35"/>
    <w:rsid w:val="00196887"/>
    <w:rsid w:val="00197E68"/>
    <w:rsid w:val="001A18B7"/>
    <w:rsid w:val="001A1C50"/>
    <w:rsid w:val="001A3600"/>
    <w:rsid w:val="001A50F3"/>
    <w:rsid w:val="001A7640"/>
    <w:rsid w:val="001B0E70"/>
    <w:rsid w:val="001B151B"/>
    <w:rsid w:val="001B2049"/>
    <w:rsid w:val="001B2CD0"/>
    <w:rsid w:val="001B40DF"/>
    <w:rsid w:val="001B6B13"/>
    <w:rsid w:val="001B70BB"/>
    <w:rsid w:val="001B76C1"/>
    <w:rsid w:val="001B7ED0"/>
    <w:rsid w:val="001C1BB3"/>
    <w:rsid w:val="001C243D"/>
    <w:rsid w:val="001C472B"/>
    <w:rsid w:val="001C6D78"/>
    <w:rsid w:val="001C721B"/>
    <w:rsid w:val="001D01D0"/>
    <w:rsid w:val="001D1B7A"/>
    <w:rsid w:val="001D22DA"/>
    <w:rsid w:val="001D2D9F"/>
    <w:rsid w:val="001D3AEF"/>
    <w:rsid w:val="001D3FC5"/>
    <w:rsid w:val="001D4671"/>
    <w:rsid w:val="001E2268"/>
    <w:rsid w:val="001E22FE"/>
    <w:rsid w:val="001E2D87"/>
    <w:rsid w:val="001E415F"/>
    <w:rsid w:val="001E5903"/>
    <w:rsid w:val="001E7AEC"/>
    <w:rsid w:val="001E7E00"/>
    <w:rsid w:val="001F0D98"/>
    <w:rsid w:val="001F24ED"/>
    <w:rsid w:val="001F46C1"/>
    <w:rsid w:val="001F4BF9"/>
    <w:rsid w:val="001F53A4"/>
    <w:rsid w:val="001F62A4"/>
    <w:rsid w:val="001F6866"/>
    <w:rsid w:val="001F6AA1"/>
    <w:rsid w:val="002038E3"/>
    <w:rsid w:val="0020406C"/>
    <w:rsid w:val="00205208"/>
    <w:rsid w:val="002071E8"/>
    <w:rsid w:val="0021253F"/>
    <w:rsid w:val="00212E6B"/>
    <w:rsid w:val="00213A7A"/>
    <w:rsid w:val="00213B6F"/>
    <w:rsid w:val="002167A3"/>
    <w:rsid w:val="002202FC"/>
    <w:rsid w:val="00220D1C"/>
    <w:rsid w:val="00220D6A"/>
    <w:rsid w:val="0022465F"/>
    <w:rsid w:val="00224C74"/>
    <w:rsid w:val="00225114"/>
    <w:rsid w:val="00226C4D"/>
    <w:rsid w:val="00227698"/>
    <w:rsid w:val="002305FC"/>
    <w:rsid w:val="00230867"/>
    <w:rsid w:val="002310EF"/>
    <w:rsid w:val="0023155F"/>
    <w:rsid w:val="00234AB2"/>
    <w:rsid w:val="002352B1"/>
    <w:rsid w:val="00240805"/>
    <w:rsid w:val="00246682"/>
    <w:rsid w:val="00247287"/>
    <w:rsid w:val="002505F6"/>
    <w:rsid w:val="00260DEC"/>
    <w:rsid w:val="00261B7C"/>
    <w:rsid w:val="00261C24"/>
    <w:rsid w:val="00262B60"/>
    <w:rsid w:val="00263E25"/>
    <w:rsid w:val="002749E3"/>
    <w:rsid w:val="0027655A"/>
    <w:rsid w:val="002771A6"/>
    <w:rsid w:val="00280653"/>
    <w:rsid w:val="00280938"/>
    <w:rsid w:val="00284D89"/>
    <w:rsid w:val="00290F7E"/>
    <w:rsid w:val="002910CD"/>
    <w:rsid w:val="0029187E"/>
    <w:rsid w:val="0029372F"/>
    <w:rsid w:val="002A429E"/>
    <w:rsid w:val="002A56E8"/>
    <w:rsid w:val="002A5825"/>
    <w:rsid w:val="002A664C"/>
    <w:rsid w:val="002B033B"/>
    <w:rsid w:val="002B2435"/>
    <w:rsid w:val="002B2B4C"/>
    <w:rsid w:val="002B2F7A"/>
    <w:rsid w:val="002B3F6C"/>
    <w:rsid w:val="002B4586"/>
    <w:rsid w:val="002B4FAD"/>
    <w:rsid w:val="002C47A8"/>
    <w:rsid w:val="002C4AC2"/>
    <w:rsid w:val="002C6281"/>
    <w:rsid w:val="002D5867"/>
    <w:rsid w:val="002D6FB2"/>
    <w:rsid w:val="002E1267"/>
    <w:rsid w:val="002E2C45"/>
    <w:rsid w:val="002E2C67"/>
    <w:rsid w:val="002E366F"/>
    <w:rsid w:val="002E3AC9"/>
    <w:rsid w:val="002E3BD6"/>
    <w:rsid w:val="002E3C7D"/>
    <w:rsid w:val="002E4C9D"/>
    <w:rsid w:val="002E5A03"/>
    <w:rsid w:val="002E6408"/>
    <w:rsid w:val="002E65D4"/>
    <w:rsid w:val="002E6851"/>
    <w:rsid w:val="002E7208"/>
    <w:rsid w:val="002E7F8E"/>
    <w:rsid w:val="002F259F"/>
    <w:rsid w:val="002F4497"/>
    <w:rsid w:val="002F55D2"/>
    <w:rsid w:val="002F7113"/>
    <w:rsid w:val="003014B0"/>
    <w:rsid w:val="00304450"/>
    <w:rsid w:val="00310BDB"/>
    <w:rsid w:val="003123FA"/>
    <w:rsid w:val="00312977"/>
    <w:rsid w:val="00313859"/>
    <w:rsid w:val="003153E6"/>
    <w:rsid w:val="003155F3"/>
    <w:rsid w:val="00316E3F"/>
    <w:rsid w:val="00331B7F"/>
    <w:rsid w:val="00334094"/>
    <w:rsid w:val="00335EEC"/>
    <w:rsid w:val="00335EFC"/>
    <w:rsid w:val="00340891"/>
    <w:rsid w:val="00341FB6"/>
    <w:rsid w:val="00344393"/>
    <w:rsid w:val="00344CD8"/>
    <w:rsid w:val="0034564A"/>
    <w:rsid w:val="003505B4"/>
    <w:rsid w:val="00351624"/>
    <w:rsid w:val="00351F38"/>
    <w:rsid w:val="0035201A"/>
    <w:rsid w:val="00352280"/>
    <w:rsid w:val="00353478"/>
    <w:rsid w:val="003547AF"/>
    <w:rsid w:val="003547B2"/>
    <w:rsid w:val="0035569A"/>
    <w:rsid w:val="00356A8B"/>
    <w:rsid w:val="00361241"/>
    <w:rsid w:val="00366334"/>
    <w:rsid w:val="0037001C"/>
    <w:rsid w:val="003700C2"/>
    <w:rsid w:val="00370E6A"/>
    <w:rsid w:val="0037597C"/>
    <w:rsid w:val="003830D0"/>
    <w:rsid w:val="00384C73"/>
    <w:rsid w:val="00387930"/>
    <w:rsid w:val="00387CBA"/>
    <w:rsid w:val="00390BE9"/>
    <w:rsid w:val="003924D8"/>
    <w:rsid w:val="003A15B5"/>
    <w:rsid w:val="003A1AB2"/>
    <w:rsid w:val="003A289D"/>
    <w:rsid w:val="003A3D48"/>
    <w:rsid w:val="003A4519"/>
    <w:rsid w:val="003B07DC"/>
    <w:rsid w:val="003B094E"/>
    <w:rsid w:val="003B1079"/>
    <w:rsid w:val="003B3FED"/>
    <w:rsid w:val="003C0180"/>
    <w:rsid w:val="003C381E"/>
    <w:rsid w:val="003C3B4A"/>
    <w:rsid w:val="003C6A10"/>
    <w:rsid w:val="003C715C"/>
    <w:rsid w:val="003C7893"/>
    <w:rsid w:val="003D3226"/>
    <w:rsid w:val="003D508B"/>
    <w:rsid w:val="003D7D67"/>
    <w:rsid w:val="003E0503"/>
    <w:rsid w:val="003F1133"/>
    <w:rsid w:val="003F1E94"/>
    <w:rsid w:val="003F1EA2"/>
    <w:rsid w:val="003F264F"/>
    <w:rsid w:val="003F4A36"/>
    <w:rsid w:val="003F4EC3"/>
    <w:rsid w:val="003F7BB4"/>
    <w:rsid w:val="003F7CD3"/>
    <w:rsid w:val="004033AC"/>
    <w:rsid w:val="00403D69"/>
    <w:rsid w:val="00411661"/>
    <w:rsid w:val="00415ECF"/>
    <w:rsid w:val="0041614F"/>
    <w:rsid w:val="00421D65"/>
    <w:rsid w:val="00422451"/>
    <w:rsid w:val="004231B8"/>
    <w:rsid w:val="00426EA3"/>
    <w:rsid w:val="004274C7"/>
    <w:rsid w:val="00427B72"/>
    <w:rsid w:val="004317EC"/>
    <w:rsid w:val="004354C0"/>
    <w:rsid w:val="004355F6"/>
    <w:rsid w:val="00436CFE"/>
    <w:rsid w:val="00440D89"/>
    <w:rsid w:val="00447110"/>
    <w:rsid w:val="0044733F"/>
    <w:rsid w:val="0044797C"/>
    <w:rsid w:val="004515C6"/>
    <w:rsid w:val="004556F5"/>
    <w:rsid w:val="00461277"/>
    <w:rsid w:val="00461A12"/>
    <w:rsid w:val="0046503F"/>
    <w:rsid w:val="00465D3E"/>
    <w:rsid w:val="00466877"/>
    <w:rsid w:val="0047254D"/>
    <w:rsid w:val="004734F3"/>
    <w:rsid w:val="00473C71"/>
    <w:rsid w:val="0047526A"/>
    <w:rsid w:val="004800F5"/>
    <w:rsid w:val="004828D5"/>
    <w:rsid w:val="004848DA"/>
    <w:rsid w:val="004850E9"/>
    <w:rsid w:val="00485E55"/>
    <w:rsid w:val="0049072A"/>
    <w:rsid w:val="004934CF"/>
    <w:rsid w:val="004950FE"/>
    <w:rsid w:val="00495372"/>
    <w:rsid w:val="004955D3"/>
    <w:rsid w:val="004A1DC0"/>
    <w:rsid w:val="004A2B3A"/>
    <w:rsid w:val="004B0E29"/>
    <w:rsid w:val="004B2323"/>
    <w:rsid w:val="004B42FB"/>
    <w:rsid w:val="004B5F69"/>
    <w:rsid w:val="004B6314"/>
    <w:rsid w:val="004C0B68"/>
    <w:rsid w:val="004C2BDA"/>
    <w:rsid w:val="004C474A"/>
    <w:rsid w:val="004C5841"/>
    <w:rsid w:val="004C7062"/>
    <w:rsid w:val="004C7CC5"/>
    <w:rsid w:val="004C7FA5"/>
    <w:rsid w:val="004D19E7"/>
    <w:rsid w:val="004D2C06"/>
    <w:rsid w:val="004D3827"/>
    <w:rsid w:val="004E2C76"/>
    <w:rsid w:val="004E5DD7"/>
    <w:rsid w:val="004E6CFB"/>
    <w:rsid w:val="004F3441"/>
    <w:rsid w:val="004F35CE"/>
    <w:rsid w:val="004F67CE"/>
    <w:rsid w:val="005004EA"/>
    <w:rsid w:val="00501763"/>
    <w:rsid w:val="00501C82"/>
    <w:rsid w:val="0050270D"/>
    <w:rsid w:val="00502B00"/>
    <w:rsid w:val="00505368"/>
    <w:rsid w:val="005064E0"/>
    <w:rsid w:val="005177D6"/>
    <w:rsid w:val="00521799"/>
    <w:rsid w:val="00521E94"/>
    <w:rsid w:val="00522D69"/>
    <w:rsid w:val="00523A43"/>
    <w:rsid w:val="005302FE"/>
    <w:rsid w:val="00530C76"/>
    <w:rsid w:val="00530DE6"/>
    <w:rsid w:val="005346FB"/>
    <w:rsid w:val="005351E1"/>
    <w:rsid w:val="00540022"/>
    <w:rsid w:val="00541145"/>
    <w:rsid w:val="00541408"/>
    <w:rsid w:val="0054257D"/>
    <w:rsid w:val="00545E9C"/>
    <w:rsid w:val="00550F08"/>
    <w:rsid w:val="005523AE"/>
    <w:rsid w:val="00553192"/>
    <w:rsid w:val="00556754"/>
    <w:rsid w:val="005569F4"/>
    <w:rsid w:val="00560F57"/>
    <w:rsid w:val="00564360"/>
    <w:rsid w:val="005645DB"/>
    <w:rsid w:val="00565FD6"/>
    <w:rsid w:val="0057361A"/>
    <w:rsid w:val="00575F1C"/>
    <w:rsid w:val="00576174"/>
    <w:rsid w:val="0057632B"/>
    <w:rsid w:val="00581C98"/>
    <w:rsid w:val="00581F09"/>
    <w:rsid w:val="00584B5F"/>
    <w:rsid w:val="00586CA8"/>
    <w:rsid w:val="005917A4"/>
    <w:rsid w:val="00592380"/>
    <w:rsid w:val="00592749"/>
    <w:rsid w:val="0059412B"/>
    <w:rsid w:val="005976B7"/>
    <w:rsid w:val="005A0876"/>
    <w:rsid w:val="005A0CB6"/>
    <w:rsid w:val="005A122B"/>
    <w:rsid w:val="005A3DC4"/>
    <w:rsid w:val="005A3F67"/>
    <w:rsid w:val="005A4BF3"/>
    <w:rsid w:val="005B0666"/>
    <w:rsid w:val="005B2CD3"/>
    <w:rsid w:val="005B2D2C"/>
    <w:rsid w:val="005B4FC5"/>
    <w:rsid w:val="005B51F3"/>
    <w:rsid w:val="005B644A"/>
    <w:rsid w:val="005B6DAC"/>
    <w:rsid w:val="005C0BD8"/>
    <w:rsid w:val="005C180A"/>
    <w:rsid w:val="005C18AF"/>
    <w:rsid w:val="005C4638"/>
    <w:rsid w:val="005D2C45"/>
    <w:rsid w:val="005D43D8"/>
    <w:rsid w:val="005D4606"/>
    <w:rsid w:val="005D57AB"/>
    <w:rsid w:val="005E0B25"/>
    <w:rsid w:val="005E144E"/>
    <w:rsid w:val="005E2E7A"/>
    <w:rsid w:val="005E426B"/>
    <w:rsid w:val="005E4B15"/>
    <w:rsid w:val="005F02E7"/>
    <w:rsid w:val="005F26D4"/>
    <w:rsid w:val="005F3834"/>
    <w:rsid w:val="005F3B00"/>
    <w:rsid w:val="005F408A"/>
    <w:rsid w:val="005F46BB"/>
    <w:rsid w:val="005F4A2B"/>
    <w:rsid w:val="005F7DC1"/>
    <w:rsid w:val="006002D6"/>
    <w:rsid w:val="006015D3"/>
    <w:rsid w:val="00605B7F"/>
    <w:rsid w:val="00606147"/>
    <w:rsid w:val="006114D0"/>
    <w:rsid w:val="006114F6"/>
    <w:rsid w:val="006147D4"/>
    <w:rsid w:val="0061740E"/>
    <w:rsid w:val="00620744"/>
    <w:rsid w:val="00623615"/>
    <w:rsid w:val="006251BF"/>
    <w:rsid w:val="00625322"/>
    <w:rsid w:val="0063268A"/>
    <w:rsid w:val="0063458F"/>
    <w:rsid w:val="00640121"/>
    <w:rsid w:val="006401FE"/>
    <w:rsid w:val="0064153A"/>
    <w:rsid w:val="00642387"/>
    <w:rsid w:val="00645ABF"/>
    <w:rsid w:val="00647792"/>
    <w:rsid w:val="0065207D"/>
    <w:rsid w:val="00654783"/>
    <w:rsid w:val="00654F6A"/>
    <w:rsid w:val="00656070"/>
    <w:rsid w:val="00656265"/>
    <w:rsid w:val="0065666C"/>
    <w:rsid w:val="00657FDB"/>
    <w:rsid w:val="006601E5"/>
    <w:rsid w:val="00660E25"/>
    <w:rsid w:val="006629C1"/>
    <w:rsid w:val="00664D71"/>
    <w:rsid w:val="00665C1F"/>
    <w:rsid w:val="006668B6"/>
    <w:rsid w:val="00667C03"/>
    <w:rsid w:val="006700E4"/>
    <w:rsid w:val="0067043A"/>
    <w:rsid w:val="00671BB0"/>
    <w:rsid w:val="00674CFE"/>
    <w:rsid w:val="0068053C"/>
    <w:rsid w:val="0068198D"/>
    <w:rsid w:val="006819FD"/>
    <w:rsid w:val="00682DEA"/>
    <w:rsid w:val="006830D2"/>
    <w:rsid w:val="006847FC"/>
    <w:rsid w:val="00686995"/>
    <w:rsid w:val="0069019A"/>
    <w:rsid w:val="0069105F"/>
    <w:rsid w:val="006919D6"/>
    <w:rsid w:val="0069298A"/>
    <w:rsid w:val="00696610"/>
    <w:rsid w:val="006972DF"/>
    <w:rsid w:val="00697AC3"/>
    <w:rsid w:val="006A13F5"/>
    <w:rsid w:val="006A2026"/>
    <w:rsid w:val="006A6E5D"/>
    <w:rsid w:val="006A7CF8"/>
    <w:rsid w:val="006B1776"/>
    <w:rsid w:val="006B23E5"/>
    <w:rsid w:val="006B6160"/>
    <w:rsid w:val="006C01C5"/>
    <w:rsid w:val="006C348B"/>
    <w:rsid w:val="006C36C4"/>
    <w:rsid w:val="006C76FA"/>
    <w:rsid w:val="006D0805"/>
    <w:rsid w:val="006D1AC3"/>
    <w:rsid w:val="006D1E71"/>
    <w:rsid w:val="006D4057"/>
    <w:rsid w:val="006D59C1"/>
    <w:rsid w:val="006D75EA"/>
    <w:rsid w:val="006E0501"/>
    <w:rsid w:val="006E3FE3"/>
    <w:rsid w:val="006E4C1B"/>
    <w:rsid w:val="006E596D"/>
    <w:rsid w:val="006E7AF3"/>
    <w:rsid w:val="006F0566"/>
    <w:rsid w:val="006F0919"/>
    <w:rsid w:val="006F0A46"/>
    <w:rsid w:val="006F15A6"/>
    <w:rsid w:val="006F2C6A"/>
    <w:rsid w:val="006F390D"/>
    <w:rsid w:val="006F471F"/>
    <w:rsid w:val="00700EAB"/>
    <w:rsid w:val="007021BE"/>
    <w:rsid w:val="00702680"/>
    <w:rsid w:val="0070334A"/>
    <w:rsid w:val="007050FC"/>
    <w:rsid w:val="00705225"/>
    <w:rsid w:val="0071320A"/>
    <w:rsid w:val="007150BB"/>
    <w:rsid w:val="007178E7"/>
    <w:rsid w:val="007204BE"/>
    <w:rsid w:val="00720E73"/>
    <w:rsid w:val="00725353"/>
    <w:rsid w:val="00725D0E"/>
    <w:rsid w:val="007265C5"/>
    <w:rsid w:val="0072668C"/>
    <w:rsid w:val="00732BB0"/>
    <w:rsid w:val="00735C5A"/>
    <w:rsid w:val="007373BC"/>
    <w:rsid w:val="00745B4A"/>
    <w:rsid w:val="00745CAB"/>
    <w:rsid w:val="007461F6"/>
    <w:rsid w:val="00752482"/>
    <w:rsid w:val="0075304B"/>
    <w:rsid w:val="00753AE9"/>
    <w:rsid w:val="0075764D"/>
    <w:rsid w:val="00761F4E"/>
    <w:rsid w:val="00763DC0"/>
    <w:rsid w:val="00770FDD"/>
    <w:rsid w:val="00775FDF"/>
    <w:rsid w:val="00780B07"/>
    <w:rsid w:val="00781F4E"/>
    <w:rsid w:val="00782767"/>
    <w:rsid w:val="007829F8"/>
    <w:rsid w:val="00782DD8"/>
    <w:rsid w:val="007836D9"/>
    <w:rsid w:val="00784CE2"/>
    <w:rsid w:val="007865F6"/>
    <w:rsid w:val="00786889"/>
    <w:rsid w:val="007875B5"/>
    <w:rsid w:val="00791ECB"/>
    <w:rsid w:val="00796D91"/>
    <w:rsid w:val="00797B6B"/>
    <w:rsid w:val="007A1C8A"/>
    <w:rsid w:val="007A2AC8"/>
    <w:rsid w:val="007A451E"/>
    <w:rsid w:val="007A6F96"/>
    <w:rsid w:val="007B3BC1"/>
    <w:rsid w:val="007C5BDC"/>
    <w:rsid w:val="007D3B2B"/>
    <w:rsid w:val="007D55E7"/>
    <w:rsid w:val="007D601C"/>
    <w:rsid w:val="007D6FF4"/>
    <w:rsid w:val="007E1DD5"/>
    <w:rsid w:val="007E356B"/>
    <w:rsid w:val="007E3BC7"/>
    <w:rsid w:val="007E3CBB"/>
    <w:rsid w:val="007E56C9"/>
    <w:rsid w:val="007E7B77"/>
    <w:rsid w:val="007F0475"/>
    <w:rsid w:val="007F052B"/>
    <w:rsid w:val="007F2F33"/>
    <w:rsid w:val="007F5D64"/>
    <w:rsid w:val="007F6F95"/>
    <w:rsid w:val="00800291"/>
    <w:rsid w:val="0080065F"/>
    <w:rsid w:val="00801E5B"/>
    <w:rsid w:val="00807640"/>
    <w:rsid w:val="008167F7"/>
    <w:rsid w:val="00821C01"/>
    <w:rsid w:val="008228C9"/>
    <w:rsid w:val="00822BCF"/>
    <w:rsid w:val="00822D01"/>
    <w:rsid w:val="00823842"/>
    <w:rsid w:val="00824D9F"/>
    <w:rsid w:val="0083782B"/>
    <w:rsid w:val="008430C5"/>
    <w:rsid w:val="008439A0"/>
    <w:rsid w:val="008446B9"/>
    <w:rsid w:val="008465D1"/>
    <w:rsid w:val="00846F5F"/>
    <w:rsid w:val="00850F74"/>
    <w:rsid w:val="00852067"/>
    <w:rsid w:val="00854589"/>
    <w:rsid w:val="00863167"/>
    <w:rsid w:val="00864D2B"/>
    <w:rsid w:val="008655E6"/>
    <w:rsid w:val="0086645F"/>
    <w:rsid w:val="00867F2D"/>
    <w:rsid w:val="00871F83"/>
    <w:rsid w:val="0088197C"/>
    <w:rsid w:val="00881DFB"/>
    <w:rsid w:val="00892D47"/>
    <w:rsid w:val="00893F19"/>
    <w:rsid w:val="008949D5"/>
    <w:rsid w:val="00895A8C"/>
    <w:rsid w:val="008963A4"/>
    <w:rsid w:val="00896E96"/>
    <w:rsid w:val="008973DC"/>
    <w:rsid w:val="008977C6"/>
    <w:rsid w:val="008A45A3"/>
    <w:rsid w:val="008A4C4E"/>
    <w:rsid w:val="008A718D"/>
    <w:rsid w:val="008A72D3"/>
    <w:rsid w:val="008A7CF8"/>
    <w:rsid w:val="008B0DAD"/>
    <w:rsid w:val="008B1B5F"/>
    <w:rsid w:val="008B2B8F"/>
    <w:rsid w:val="008B4CFD"/>
    <w:rsid w:val="008B570B"/>
    <w:rsid w:val="008B736B"/>
    <w:rsid w:val="008C5A07"/>
    <w:rsid w:val="008C6118"/>
    <w:rsid w:val="008C61E5"/>
    <w:rsid w:val="008C663A"/>
    <w:rsid w:val="008C71C7"/>
    <w:rsid w:val="008D278E"/>
    <w:rsid w:val="008D2829"/>
    <w:rsid w:val="008D7067"/>
    <w:rsid w:val="008D796C"/>
    <w:rsid w:val="008E25DA"/>
    <w:rsid w:val="008E41C7"/>
    <w:rsid w:val="008E484A"/>
    <w:rsid w:val="008E497A"/>
    <w:rsid w:val="008E652A"/>
    <w:rsid w:val="008E7F07"/>
    <w:rsid w:val="008F16CE"/>
    <w:rsid w:val="008F2935"/>
    <w:rsid w:val="008F48DA"/>
    <w:rsid w:val="008F6A55"/>
    <w:rsid w:val="008F70BD"/>
    <w:rsid w:val="008F7AAE"/>
    <w:rsid w:val="009006FA"/>
    <w:rsid w:val="009022F3"/>
    <w:rsid w:val="00904276"/>
    <w:rsid w:val="00905000"/>
    <w:rsid w:val="00905540"/>
    <w:rsid w:val="00905F44"/>
    <w:rsid w:val="00907832"/>
    <w:rsid w:val="009104DC"/>
    <w:rsid w:val="00912264"/>
    <w:rsid w:val="00912318"/>
    <w:rsid w:val="00912E1F"/>
    <w:rsid w:val="00913C21"/>
    <w:rsid w:val="00913EF4"/>
    <w:rsid w:val="00917326"/>
    <w:rsid w:val="00920E7C"/>
    <w:rsid w:val="00921818"/>
    <w:rsid w:val="009241B8"/>
    <w:rsid w:val="00925B94"/>
    <w:rsid w:val="00926EB6"/>
    <w:rsid w:val="009278F8"/>
    <w:rsid w:val="00927D06"/>
    <w:rsid w:val="00927FC8"/>
    <w:rsid w:val="0093120A"/>
    <w:rsid w:val="00933227"/>
    <w:rsid w:val="00933672"/>
    <w:rsid w:val="00934222"/>
    <w:rsid w:val="00941A29"/>
    <w:rsid w:val="00941DE1"/>
    <w:rsid w:val="009433F1"/>
    <w:rsid w:val="0094430E"/>
    <w:rsid w:val="00950989"/>
    <w:rsid w:val="00952DF0"/>
    <w:rsid w:val="0095731C"/>
    <w:rsid w:val="009613C8"/>
    <w:rsid w:val="00962A1B"/>
    <w:rsid w:val="009646FC"/>
    <w:rsid w:val="0096554F"/>
    <w:rsid w:val="009657BE"/>
    <w:rsid w:val="009666A5"/>
    <w:rsid w:val="00966AB2"/>
    <w:rsid w:val="009705A6"/>
    <w:rsid w:val="00970713"/>
    <w:rsid w:val="0097092E"/>
    <w:rsid w:val="00972D90"/>
    <w:rsid w:val="00973157"/>
    <w:rsid w:val="00980A91"/>
    <w:rsid w:val="009814F1"/>
    <w:rsid w:val="009815E5"/>
    <w:rsid w:val="00981A0D"/>
    <w:rsid w:val="009854F8"/>
    <w:rsid w:val="00985FE1"/>
    <w:rsid w:val="0098621A"/>
    <w:rsid w:val="00986F62"/>
    <w:rsid w:val="0098729B"/>
    <w:rsid w:val="0099635B"/>
    <w:rsid w:val="009A0982"/>
    <w:rsid w:val="009A0DC1"/>
    <w:rsid w:val="009A0DCD"/>
    <w:rsid w:val="009A4ADC"/>
    <w:rsid w:val="009A51AA"/>
    <w:rsid w:val="009A7ACF"/>
    <w:rsid w:val="009B103D"/>
    <w:rsid w:val="009B2543"/>
    <w:rsid w:val="009B4E60"/>
    <w:rsid w:val="009B5DC3"/>
    <w:rsid w:val="009B7815"/>
    <w:rsid w:val="009C2D49"/>
    <w:rsid w:val="009C334A"/>
    <w:rsid w:val="009C54C2"/>
    <w:rsid w:val="009C78D8"/>
    <w:rsid w:val="009C7BB2"/>
    <w:rsid w:val="009D58DB"/>
    <w:rsid w:val="009D60DC"/>
    <w:rsid w:val="009E1090"/>
    <w:rsid w:val="009E267B"/>
    <w:rsid w:val="009E4357"/>
    <w:rsid w:val="009E448A"/>
    <w:rsid w:val="009E47E2"/>
    <w:rsid w:val="009E5BD5"/>
    <w:rsid w:val="009F0113"/>
    <w:rsid w:val="009F1CBD"/>
    <w:rsid w:val="009F24D3"/>
    <w:rsid w:val="009F4DDC"/>
    <w:rsid w:val="00A0154F"/>
    <w:rsid w:val="00A0352C"/>
    <w:rsid w:val="00A036CE"/>
    <w:rsid w:val="00A06C09"/>
    <w:rsid w:val="00A116F0"/>
    <w:rsid w:val="00A11E77"/>
    <w:rsid w:val="00A132CF"/>
    <w:rsid w:val="00A1368E"/>
    <w:rsid w:val="00A15F27"/>
    <w:rsid w:val="00A225BF"/>
    <w:rsid w:val="00A22B78"/>
    <w:rsid w:val="00A23154"/>
    <w:rsid w:val="00A23B14"/>
    <w:rsid w:val="00A23F8A"/>
    <w:rsid w:val="00A27507"/>
    <w:rsid w:val="00A3033E"/>
    <w:rsid w:val="00A31835"/>
    <w:rsid w:val="00A326CB"/>
    <w:rsid w:val="00A350FB"/>
    <w:rsid w:val="00A4086D"/>
    <w:rsid w:val="00A42943"/>
    <w:rsid w:val="00A43CA5"/>
    <w:rsid w:val="00A441B4"/>
    <w:rsid w:val="00A45745"/>
    <w:rsid w:val="00A46687"/>
    <w:rsid w:val="00A46907"/>
    <w:rsid w:val="00A46CBB"/>
    <w:rsid w:val="00A46FBE"/>
    <w:rsid w:val="00A502D0"/>
    <w:rsid w:val="00A50ED3"/>
    <w:rsid w:val="00A51187"/>
    <w:rsid w:val="00A52DC9"/>
    <w:rsid w:val="00A53148"/>
    <w:rsid w:val="00A54403"/>
    <w:rsid w:val="00A554CF"/>
    <w:rsid w:val="00A56BBC"/>
    <w:rsid w:val="00A63FFD"/>
    <w:rsid w:val="00A64CB8"/>
    <w:rsid w:val="00A66994"/>
    <w:rsid w:val="00A67C27"/>
    <w:rsid w:val="00A70973"/>
    <w:rsid w:val="00A72EB5"/>
    <w:rsid w:val="00A80ED8"/>
    <w:rsid w:val="00A80EFA"/>
    <w:rsid w:val="00A8187B"/>
    <w:rsid w:val="00A81F91"/>
    <w:rsid w:val="00A82466"/>
    <w:rsid w:val="00A85EB6"/>
    <w:rsid w:val="00A94B66"/>
    <w:rsid w:val="00A94DC9"/>
    <w:rsid w:val="00A97EDF"/>
    <w:rsid w:val="00AA171D"/>
    <w:rsid w:val="00AA381F"/>
    <w:rsid w:val="00AB2ADE"/>
    <w:rsid w:val="00AC0057"/>
    <w:rsid w:val="00AC0D55"/>
    <w:rsid w:val="00AC22A6"/>
    <w:rsid w:val="00AC2722"/>
    <w:rsid w:val="00AC29EE"/>
    <w:rsid w:val="00AC2D62"/>
    <w:rsid w:val="00AC3218"/>
    <w:rsid w:val="00AC4EC8"/>
    <w:rsid w:val="00AC5A52"/>
    <w:rsid w:val="00AC61C6"/>
    <w:rsid w:val="00AC7F4D"/>
    <w:rsid w:val="00AD0FEC"/>
    <w:rsid w:val="00AD2B00"/>
    <w:rsid w:val="00AD40AE"/>
    <w:rsid w:val="00AD5B28"/>
    <w:rsid w:val="00AD73E4"/>
    <w:rsid w:val="00AE1672"/>
    <w:rsid w:val="00AE46E8"/>
    <w:rsid w:val="00AE68FA"/>
    <w:rsid w:val="00AE7967"/>
    <w:rsid w:val="00AE7CB9"/>
    <w:rsid w:val="00AF1D21"/>
    <w:rsid w:val="00AF3FC9"/>
    <w:rsid w:val="00AF4797"/>
    <w:rsid w:val="00AF5E8D"/>
    <w:rsid w:val="00B002B0"/>
    <w:rsid w:val="00B00554"/>
    <w:rsid w:val="00B0351C"/>
    <w:rsid w:val="00B03ED5"/>
    <w:rsid w:val="00B0579D"/>
    <w:rsid w:val="00B10D0D"/>
    <w:rsid w:val="00B114AF"/>
    <w:rsid w:val="00B11D46"/>
    <w:rsid w:val="00B15B13"/>
    <w:rsid w:val="00B17D98"/>
    <w:rsid w:val="00B17FBD"/>
    <w:rsid w:val="00B226CC"/>
    <w:rsid w:val="00B24BCE"/>
    <w:rsid w:val="00B305C3"/>
    <w:rsid w:val="00B32C83"/>
    <w:rsid w:val="00B33DD5"/>
    <w:rsid w:val="00B36178"/>
    <w:rsid w:val="00B37ADA"/>
    <w:rsid w:val="00B37BFD"/>
    <w:rsid w:val="00B405D5"/>
    <w:rsid w:val="00B429F8"/>
    <w:rsid w:val="00B436AC"/>
    <w:rsid w:val="00B46845"/>
    <w:rsid w:val="00B5033E"/>
    <w:rsid w:val="00B51782"/>
    <w:rsid w:val="00B52B63"/>
    <w:rsid w:val="00B554A6"/>
    <w:rsid w:val="00B573F7"/>
    <w:rsid w:val="00B613B7"/>
    <w:rsid w:val="00B61EEC"/>
    <w:rsid w:val="00B62EE6"/>
    <w:rsid w:val="00B63E1F"/>
    <w:rsid w:val="00B64556"/>
    <w:rsid w:val="00B67289"/>
    <w:rsid w:val="00B710EB"/>
    <w:rsid w:val="00B720B1"/>
    <w:rsid w:val="00B761E7"/>
    <w:rsid w:val="00B766F5"/>
    <w:rsid w:val="00B80FCB"/>
    <w:rsid w:val="00B81A74"/>
    <w:rsid w:val="00B8371F"/>
    <w:rsid w:val="00B83EEA"/>
    <w:rsid w:val="00B84861"/>
    <w:rsid w:val="00B8493A"/>
    <w:rsid w:val="00B86080"/>
    <w:rsid w:val="00B86B1F"/>
    <w:rsid w:val="00B90B8C"/>
    <w:rsid w:val="00B92A7A"/>
    <w:rsid w:val="00B931DE"/>
    <w:rsid w:val="00B93364"/>
    <w:rsid w:val="00B96767"/>
    <w:rsid w:val="00BA0BED"/>
    <w:rsid w:val="00BA1452"/>
    <w:rsid w:val="00BA60E6"/>
    <w:rsid w:val="00BA65E3"/>
    <w:rsid w:val="00BB13B6"/>
    <w:rsid w:val="00BB1D1A"/>
    <w:rsid w:val="00BB1FCF"/>
    <w:rsid w:val="00BB2D03"/>
    <w:rsid w:val="00BB34D3"/>
    <w:rsid w:val="00BB5D78"/>
    <w:rsid w:val="00BB6D26"/>
    <w:rsid w:val="00BB7BB0"/>
    <w:rsid w:val="00BC23B2"/>
    <w:rsid w:val="00BC7786"/>
    <w:rsid w:val="00BC79EA"/>
    <w:rsid w:val="00BC7DF2"/>
    <w:rsid w:val="00BD0257"/>
    <w:rsid w:val="00BD1F47"/>
    <w:rsid w:val="00BD69E5"/>
    <w:rsid w:val="00BE402C"/>
    <w:rsid w:val="00BE6C6B"/>
    <w:rsid w:val="00BE763B"/>
    <w:rsid w:val="00BF142F"/>
    <w:rsid w:val="00BF17F8"/>
    <w:rsid w:val="00BF2A51"/>
    <w:rsid w:val="00BF431F"/>
    <w:rsid w:val="00BF437A"/>
    <w:rsid w:val="00C00014"/>
    <w:rsid w:val="00C007C1"/>
    <w:rsid w:val="00C0093D"/>
    <w:rsid w:val="00C00BE5"/>
    <w:rsid w:val="00C02BA4"/>
    <w:rsid w:val="00C02C9A"/>
    <w:rsid w:val="00C06609"/>
    <w:rsid w:val="00C15B48"/>
    <w:rsid w:val="00C1681C"/>
    <w:rsid w:val="00C20F2E"/>
    <w:rsid w:val="00C20F3A"/>
    <w:rsid w:val="00C21021"/>
    <w:rsid w:val="00C21DB3"/>
    <w:rsid w:val="00C2246A"/>
    <w:rsid w:val="00C22473"/>
    <w:rsid w:val="00C260E7"/>
    <w:rsid w:val="00C278D8"/>
    <w:rsid w:val="00C3187B"/>
    <w:rsid w:val="00C32C5E"/>
    <w:rsid w:val="00C345E8"/>
    <w:rsid w:val="00C410B6"/>
    <w:rsid w:val="00C4136D"/>
    <w:rsid w:val="00C4263C"/>
    <w:rsid w:val="00C432FB"/>
    <w:rsid w:val="00C45FAC"/>
    <w:rsid w:val="00C47D2A"/>
    <w:rsid w:val="00C5190D"/>
    <w:rsid w:val="00C52A2C"/>
    <w:rsid w:val="00C56CA8"/>
    <w:rsid w:val="00C5758C"/>
    <w:rsid w:val="00C62ABD"/>
    <w:rsid w:val="00C631C3"/>
    <w:rsid w:val="00C632FC"/>
    <w:rsid w:val="00C64CD3"/>
    <w:rsid w:val="00C707CA"/>
    <w:rsid w:val="00C724E2"/>
    <w:rsid w:val="00C736D4"/>
    <w:rsid w:val="00C75226"/>
    <w:rsid w:val="00C77077"/>
    <w:rsid w:val="00C821F4"/>
    <w:rsid w:val="00C8320C"/>
    <w:rsid w:val="00C8451F"/>
    <w:rsid w:val="00C86EA3"/>
    <w:rsid w:val="00C86F30"/>
    <w:rsid w:val="00C90BA6"/>
    <w:rsid w:val="00C91BE4"/>
    <w:rsid w:val="00C949EA"/>
    <w:rsid w:val="00C95D55"/>
    <w:rsid w:val="00C964B2"/>
    <w:rsid w:val="00C96659"/>
    <w:rsid w:val="00CA3110"/>
    <w:rsid w:val="00CA4AD2"/>
    <w:rsid w:val="00CA67D4"/>
    <w:rsid w:val="00CA72D2"/>
    <w:rsid w:val="00CB0178"/>
    <w:rsid w:val="00CB1FEF"/>
    <w:rsid w:val="00CB2223"/>
    <w:rsid w:val="00CB2CA7"/>
    <w:rsid w:val="00CB4043"/>
    <w:rsid w:val="00CC07A2"/>
    <w:rsid w:val="00CC08B4"/>
    <w:rsid w:val="00CC6345"/>
    <w:rsid w:val="00CC67F9"/>
    <w:rsid w:val="00CD24AF"/>
    <w:rsid w:val="00CE0B1E"/>
    <w:rsid w:val="00CE11E1"/>
    <w:rsid w:val="00CE159C"/>
    <w:rsid w:val="00CE3B8E"/>
    <w:rsid w:val="00CE3E0B"/>
    <w:rsid w:val="00CE7C81"/>
    <w:rsid w:val="00CF01F5"/>
    <w:rsid w:val="00CF2165"/>
    <w:rsid w:val="00CF2A1D"/>
    <w:rsid w:val="00CF2DF1"/>
    <w:rsid w:val="00CF5305"/>
    <w:rsid w:val="00CF77A8"/>
    <w:rsid w:val="00D0221A"/>
    <w:rsid w:val="00D058F6"/>
    <w:rsid w:val="00D07081"/>
    <w:rsid w:val="00D12244"/>
    <w:rsid w:val="00D12E39"/>
    <w:rsid w:val="00D14440"/>
    <w:rsid w:val="00D149AB"/>
    <w:rsid w:val="00D14CE6"/>
    <w:rsid w:val="00D246CB"/>
    <w:rsid w:val="00D24E20"/>
    <w:rsid w:val="00D25A1F"/>
    <w:rsid w:val="00D26D96"/>
    <w:rsid w:val="00D26F8B"/>
    <w:rsid w:val="00D30F50"/>
    <w:rsid w:val="00D31982"/>
    <w:rsid w:val="00D319B3"/>
    <w:rsid w:val="00D353EA"/>
    <w:rsid w:val="00D4405E"/>
    <w:rsid w:val="00D453AF"/>
    <w:rsid w:val="00D507D2"/>
    <w:rsid w:val="00D57FB8"/>
    <w:rsid w:val="00D603BC"/>
    <w:rsid w:val="00D6352D"/>
    <w:rsid w:val="00D651CE"/>
    <w:rsid w:val="00D6521D"/>
    <w:rsid w:val="00D65736"/>
    <w:rsid w:val="00D66220"/>
    <w:rsid w:val="00D67D79"/>
    <w:rsid w:val="00D71853"/>
    <w:rsid w:val="00D736B2"/>
    <w:rsid w:val="00D77F8F"/>
    <w:rsid w:val="00D83F89"/>
    <w:rsid w:val="00D84A9F"/>
    <w:rsid w:val="00D85260"/>
    <w:rsid w:val="00D92B80"/>
    <w:rsid w:val="00D9719A"/>
    <w:rsid w:val="00D971D6"/>
    <w:rsid w:val="00D979FE"/>
    <w:rsid w:val="00D97A4F"/>
    <w:rsid w:val="00DA1779"/>
    <w:rsid w:val="00DA3D9E"/>
    <w:rsid w:val="00DA552C"/>
    <w:rsid w:val="00DA6CB9"/>
    <w:rsid w:val="00DB1FBB"/>
    <w:rsid w:val="00DB3A45"/>
    <w:rsid w:val="00DB4341"/>
    <w:rsid w:val="00DB4D7F"/>
    <w:rsid w:val="00DB6079"/>
    <w:rsid w:val="00DB637D"/>
    <w:rsid w:val="00DB667E"/>
    <w:rsid w:val="00DB6D6E"/>
    <w:rsid w:val="00DB7B06"/>
    <w:rsid w:val="00DC0A8F"/>
    <w:rsid w:val="00DC2521"/>
    <w:rsid w:val="00DC2DF9"/>
    <w:rsid w:val="00DC2F4C"/>
    <w:rsid w:val="00DC48BC"/>
    <w:rsid w:val="00DC615C"/>
    <w:rsid w:val="00DD0080"/>
    <w:rsid w:val="00DD00DD"/>
    <w:rsid w:val="00DD18E9"/>
    <w:rsid w:val="00DD2879"/>
    <w:rsid w:val="00DD3F1F"/>
    <w:rsid w:val="00DD5D3A"/>
    <w:rsid w:val="00DD6A83"/>
    <w:rsid w:val="00DD6B71"/>
    <w:rsid w:val="00DD7130"/>
    <w:rsid w:val="00DD7D3D"/>
    <w:rsid w:val="00DE324F"/>
    <w:rsid w:val="00DE5563"/>
    <w:rsid w:val="00DE6BA3"/>
    <w:rsid w:val="00DF027E"/>
    <w:rsid w:val="00DF3136"/>
    <w:rsid w:val="00DF3E6F"/>
    <w:rsid w:val="00DF5E3C"/>
    <w:rsid w:val="00DF62E1"/>
    <w:rsid w:val="00E0281D"/>
    <w:rsid w:val="00E03559"/>
    <w:rsid w:val="00E0573B"/>
    <w:rsid w:val="00E065B4"/>
    <w:rsid w:val="00E06640"/>
    <w:rsid w:val="00E07F47"/>
    <w:rsid w:val="00E1053C"/>
    <w:rsid w:val="00E107FD"/>
    <w:rsid w:val="00E11492"/>
    <w:rsid w:val="00E11DF1"/>
    <w:rsid w:val="00E1476E"/>
    <w:rsid w:val="00E25DA1"/>
    <w:rsid w:val="00E26894"/>
    <w:rsid w:val="00E33BEF"/>
    <w:rsid w:val="00E33E68"/>
    <w:rsid w:val="00E36C8F"/>
    <w:rsid w:val="00E441DE"/>
    <w:rsid w:val="00E446E6"/>
    <w:rsid w:val="00E447C0"/>
    <w:rsid w:val="00E44D25"/>
    <w:rsid w:val="00E45E8D"/>
    <w:rsid w:val="00E50228"/>
    <w:rsid w:val="00E508FD"/>
    <w:rsid w:val="00E50A88"/>
    <w:rsid w:val="00E52C00"/>
    <w:rsid w:val="00E53C95"/>
    <w:rsid w:val="00E53FE2"/>
    <w:rsid w:val="00E55BF6"/>
    <w:rsid w:val="00E561E3"/>
    <w:rsid w:val="00E60AFA"/>
    <w:rsid w:val="00E61265"/>
    <w:rsid w:val="00E61557"/>
    <w:rsid w:val="00E650A9"/>
    <w:rsid w:val="00E655EE"/>
    <w:rsid w:val="00E672F7"/>
    <w:rsid w:val="00E70DB2"/>
    <w:rsid w:val="00E733DF"/>
    <w:rsid w:val="00E77772"/>
    <w:rsid w:val="00E77B79"/>
    <w:rsid w:val="00E813FE"/>
    <w:rsid w:val="00E82D35"/>
    <w:rsid w:val="00E83061"/>
    <w:rsid w:val="00E83957"/>
    <w:rsid w:val="00E85116"/>
    <w:rsid w:val="00E87E5E"/>
    <w:rsid w:val="00E93C80"/>
    <w:rsid w:val="00E95111"/>
    <w:rsid w:val="00E958F2"/>
    <w:rsid w:val="00E95D08"/>
    <w:rsid w:val="00E9669E"/>
    <w:rsid w:val="00EA040F"/>
    <w:rsid w:val="00EA0B48"/>
    <w:rsid w:val="00EA163B"/>
    <w:rsid w:val="00EA2807"/>
    <w:rsid w:val="00EA2821"/>
    <w:rsid w:val="00EA703F"/>
    <w:rsid w:val="00EB55CE"/>
    <w:rsid w:val="00EB650C"/>
    <w:rsid w:val="00EC02F9"/>
    <w:rsid w:val="00EC2CDA"/>
    <w:rsid w:val="00EC535A"/>
    <w:rsid w:val="00ED18C8"/>
    <w:rsid w:val="00ED20A7"/>
    <w:rsid w:val="00ED2D57"/>
    <w:rsid w:val="00ED30C7"/>
    <w:rsid w:val="00ED376E"/>
    <w:rsid w:val="00ED436E"/>
    <w:rsid w:val="00EE2E8E"/>
    <w:rsid w:val="00EE4A12"/>
    <w:rsid w:val="00EE6030"/>
    <w:rsid w:val="00EF035E"/>
    <w:rsid w:val="00EF23E7"/>
    <w:rsid w:val="00EF27A1"/>
    <w:rsid w:val="00EF461A"/>
    <w:rsid w:val="00EF5001"/>
    <w:rsid w:val="00EF74E0"/>
    <w:rsid w:val="00F01312"/>
    <w:rsid w:val="00F017D9"/>
    <w:rsid w:val="00F053D5"/>
    <w:rsid w:val="00F054FB"/>
    <w:rsid w:val="00F123E2"/>
    <w:rsid w:val="00F21B6B"/>
    <w:rsid w:val="00F2715D"/>
    <w:rsid w:val="00F34AF6"/>
    <w:rsid w:val="00F3711F"/>
    <w:rsid w:val="00F40D61"/>
    <w:rsid w:val="00F40E16"/>
    <w:rsid w:val="00F41434"/>
    <w:rsid w:val="00F43067"/>
    <w:rsid w:val="00F4322B"/>
    <w:rsid w:val="00F44783"/>
    <w:rsid w:val="00F45784"/>
    <w:rsid w:val="00F464F3"/>
    <w:rsid w:val="00F46FB8"/>
    <w:rsid w:val="00F51A46"/>
    <w:rsid w:val="00F52699"/>
    <w:rsid w:val="00F5310C"/>
    <w:rsid w:val="00F5382D"/>
    <w:rsid w:val="00F53B6E"/>
    <w:rsid w:val="00F53C27"/>
    <w:rsid w:val="00F53DA8"/>
    <w:rsid w:val="00F54DCE"/>
    <w:rsid w:val="00F6098D"/>
    <w:rsid w:val="00F6305D"/>
    <w:rsid w:val="00F64BC8"/>
    <w:rsid w:val="00F65A9F"/>
    <w:rsid w:val="00F65E89"/>
    <w:rsid w:val="00F66AAF"/>
    <w:rsid w:val="00F7322C"/>
    <w:rsid w:val="00F740F5"/>
    <w:rsid w:val="00F7586B"/>
    <w:rsid w:val="00F76AFE"/>
    <w:rsid w:val="00F8050D"/>
    <w:rsid w:val="00F80AE4"/>
    <w:rsid w:val="00F8358E"/>
    <w:rsid w:val="00F83EBF"/>
    <w:rsid w:val="00F86F5A"/>
    <w:rsid w:val="00F87FF9"/>
    <w:rsid w:val="00F90DEF"/>
    <w:rsid w:val="00F925A2"/>
    <w:rsid w:val="00F927F3"/>
    <w:rsid w:val="00F92911"/>
    <w:rsid w:val="00F94B1B"/>
    <w:rsid w:val="00FA33BE"/>
    <w:rsid w:val="00FA6863"/>
    <w:rsid w:val="00FA6C2B"/>
    <w:rsid w:val="00FA6EB2"/>
    <w:rsid w:val="00FA73B5"/>
    <w:rsid w:val="00FA7B0B"/>
    <w:rsid w:val="00FB0724"/>
    <w:rsid w:val="00FB250C"/>
    <w:rsid w:val="00FB6F51"/>
    <w:rsid w:val="00FC07F3"/>
    <w:rsid w:val="00FC33D0"/>
    <w:rsid w:val="00FC5DE9"/>
    <w:rsid w:val="00FC61D2"/>
    <w:rsid w:val="00FC6637"/>
    <w:rsid w:val="00FD2D2C"/>
    <w:rsid w:val="00FD492C"/>
    <w:rsid w:val="00FD7096"/>
    <w:rsid w:val="00FE3660"/>
    <w:rsid w:val="00FE3D6E"/>
    <w:rsid w:val="00FE5C56"/>
    <w:rsid w:val="00FE617B"/>
    <w:rsid w:val="00FE7E2A"/>
    <w:rsid w:val="00FF2704"/>
    <w:rsid w:val="00FF34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3DE4"/>
  <w15:chartTrackingRefBased/>
  <w15:docId w15:val="{57AD3A58-B867-4435-B673-03A4B2B8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12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E0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472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47287"/>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5645DB"/>
    <w:rPr>
      <w:sz w:val="16"/>
      <w:szCs w:val="16"/>
    </w:rPr>
  </w:style>
  <w:style w:type="paragraph" w:styleId="Merknadstekst">
    <w:name w:val="annotation text"/>
    <w:basedOn w:val="Normal"/>
    <w:link w:val="MerknadstekstTegn"/>
    <w:uiPriority w:val="99"/>
    <w:semiHidden/>
    <w:unhideWhenUsed/>
    <w:rsid w:val="005645D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645DB"/>
    <w:rPr>
      <w:sz w:val="20"/>
      <w:szCs w:val="20"/>
    </w:rPr>
  </w:style>
  <w:style w:type="paragraph" w:styleId="Kommentaremne">
    <w:name w:val="annotation subject"/>
    <w:basedOn w:val="Merknadstekst"/>
    <w:next w:val="Merknadstekst"/>
    <w:link w:val="KommentaremneTegn"/>
    <w:uiPriority w:val="99"/>
    <w:semiHidden/>
    <w:unhideWhenUsed/>
    <w:rsid w:val="005645DB"/>
    <w:rPr>
      <w:b/>
      <w:bCs/>
    </w:rPr>
  </w:style>
  <w:style w:type="character" w:customStyle="1" w:styleId="KommentaremneTegn">
    <w:name w:val="Kommentaremne Tegn"/>
    <w:basedOn w:val="MerknadstekstTegn"/>
    <w:link w:val="Kommentaremne"/>
    <w:uiPriority w:val="99"/>
    <w:semiHidden/>
    <w:rsid w:val="005645DB"/>
    <w:rPr>
      <w:b/>
      <w:bCs/>
      <w:sz w:val="20"/>
      <w:szCs w:val="20"/>
    </w:rPr>
  </w:style>
  <w:style w:type="paragraph" w:styleId="Bobletekst">
    <w:name w:val="Balloon Text"/>
    <w:basedOn w:val="Normal"/>
    <w:link w:val="BobletekstTegn"/>
    <w:uiPriority w:val="99"/>
    <w:semiHidden/>
    <w:unhideWhenUsed/>
    <w:rsid w:val="005645D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45DB"/>
    <w:rPr>
      <w:rFonts w:ascii="Segoe UI" w:hAnsi="Segoe UI" w:cs="Segoe UI"/>
      <w:sz w:val="18"/>
      <w:szCs w:val="18"/>
    </w:rPr>
  </w:style>
  <w:style w:type="paragraph" w:styleId="Fotnotetekst">
    <w:name w:val="footnote text"/>
    <w:basedOn w:val="Normal"/>
    <w:link w:val="FotnotetekstTegn"/>
    <w:uiPriority w:val="99"/>
    <w:semiHidden/>
    <w:unhideWhenUsed/>
    <w:rsid w:val="002B2B4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B2B4C"/>
    <w:rPr>
      <w:sz w:val="20"/>
      <w:szCs w:val="20"/>
    </w:rPr>
  </w:style>
  <w:style w:type="character" w:styleId="Fotnotereferanse">
    <w:name w:val="footnote reference"/>
    <w:basedOn w:val="Standardskriftforavsnitt"/>
    <w:uiPriority w:val="99"/>
    <w:semiHidden/>
    <w:unhideWhenUsed/>
    <w:rsid w:val="002B2B4C"/>
    <w:rPr>
      <w:vertAlign w:val="superscript"/>
    </w:rPr>
  </w:style>
  <w:style w:type="paragraph" w:styleId="Bildetekst">
    <w:name w:val="caption"/>
    <w:basedOn w:val="Normal"/>
    <w:next w:val="Normal"/>
    <w:uiPriority w:val="35"/>
    <w:unhideWhenUsed/>
    <w:qFormat/>
    <w:rsid w:val="007E7B77"/>
    <w:pPr>
      <w:spacing w:after="200" w:line="240" w:lineRule="auto"/>
    </w:pPr>
    <w:rPr>
      <w:i/>
      <w:iCs/>
      <w:color w:val="44546A" w:themeColor="text2"/>
      <w:sz w:val="18"/>
      <w:szCs w:val="18"/>
    </w:rPr>
  </w:style>
  <w:style w:type="paragraph" w:styleId="Undertittel">
    <w:name w:val="Subtitle"/>
    <w:basedOn w:val="Normal"/>
    <w:next w:val="Normal"/>
    <w:link w:val="UndertittelTegn"/>
    <w:uiPriority w:val="11"/>
    <w:qFormat/>
    <w:rsid w:val="003123F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123FA"/>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3123FA"/>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B6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61241"/>
    <w:pPr>
      <w:ind w:left="720"/>
      <w:contextualSpacing/>
    </w:pPr>
  </w:style>
  <w:style w:type="character" w:styleId="Hyperkobling">
    <w:name w:val="Hyperlink"/>
    <w:basedOn w:val="Standardskriftforavsnitt"/>
    <w:uiPriority w:val="99"/>
    <w:unhideWhenUsed/>
    <w:rsid w:val="00E50228"/>
    <w:rPr>
      <w:color w:val="0563C1" w:themeColor="hyperlink"/>
      <w:u w:val="single"/>
    </w:rPr>
  </w:style>
  <w:style w:type="character" w:customStyle="1" w:styleId="Overskrift2Tegn">
    <w:name w:val="Overskrift 2 Tegn"/>
    <w:basedOn w:val="Standardskriftforavsnitt"/>
    <w:link w:val="Overskrift2"/>
    <w:uiPriority w:val="9"/>
    <w:rsid w:val="005E0B2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41408"/>
    <w:pPr>
      <w:spacing w:before="100" w:beforeAutospacing="1" w:after="100" w:afterAutospacing="1" w:line="240" w:lineRule="auto"/>
    </w:pPr>
    <w:rPr>
      <w:rFonts w:ascii="Times New Roman" w:eastAsiaTheme="minorEastAsia" w:hAnsi="Times New Roman" w:cs="Times New Roman"/>
      <w:sz w:val="24"/>
      <w:szCs w:val="24"/>
      <w:lang w:eastAsia="nb-NO"/>
    </w:rPr>
  </w:style>
  <w:style w:type="table" w:styleId="Vanligtabell1">
    <w:name w:val="Plain Table 1"/>
    <w:basedOn w:val="Vanligtabell"/>
    <w:uiPriority w:val="41"/>
    <w:rsid w:val="00C20F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C20F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9C54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54C2"/>
  </w:style>
  <w:style w:type="paragraph" w:styleId="Bunntekst">
    <w:name w:val="footer"/>
    <w:basedOn w:val="Normal"/>
    <w:link w:val="BunntekstTegn"/>
    <w:uiPriority w:val="99"/>
    <w:unhideWhenUsed/>
    <w:rsid w:val="009C54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hi.no\Felles\Forskningsprosjekter\PDB%201838%20-%20Personskader%20i%20Norge\Forskningsfiler\EYOH\Artikkel%20om%20kobling\Figur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hi.no\Felles\Forskningsprosjekter\PDB%201838%20-%20Personskader%20i%20Norge\Forskningsfiler\EYOH\Artikkel%20om%20kobling\Antall%20pasient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[1]tall!$K$65</c:f>
              <c:strCache>
                <c:ptCount val="1"/>
                <c:pt idx="0">
                  <c:v>Total injured population</c:v>
                </c:pt>
              </c:strCache>
            </c:strRef>
          </c:tx>
          <c:spPr>
            <a:ln w="28575" cap="rnd">
              <a:solidFill>
                <a:schemeClr val="accent1"/>
              </a:solidFill>
              <a:round/>
            </a:ln>
            <a:effectLst/>
          </c:spPr>
          <c:marker>
            <c:symbol val="none"/>
          </c:marker>
          <c:cat>
            <c:numRef>
              <c:f>[1]tall!$L$64:$Q$64</c:f>
              <c:numCache>
                <c:formatCode>General</c:formatCode>
                <c:ptCount val="6"/>
                <c:pt idx="0">
                  <c:v>2009</c:v>
                </c:pt>
                <c:pt idx="1">
                  <c:v>2010</c:v>
                </c:pt>
                <c:pt idx="2">
                  <c:v>2011</c:v>
                </c:pt>
                <c:pt idx="3">
                  <c:v>2012</c:v>
                </c:pt>
                <c:pt idx="4">
                  <c:v>2013</c:v>
                </c:pt>
                <c:pt idx="5">
                  <c:v>2014</c:v>
                </c:pt>
              </c:numCache>
            </c:numRef>
          </c:cat>
          <c:val>
            <c:numRef>
              <c:f>[1]tall!$L$65:$Q$65</c:f>
              <c:numCache>
                <c:formatCode>General</c:formatCode>
                <c:ptCount val="6"/>
                <c:pt idx="0">
                  <c:v>124.6</c:v>
                </c:pt>
                <c:pt idx="1">
                  <c:v>126.4</c:v>
                </c:pt>
                <c:pt idx="2">
                  <c:v>125.9</c:v>
                </c:pt>
                <c:pt idx="3">
                  <c:v>123.1</c:v>
                </c:pt>
                <c:pt idx="4">
                  <c:v>124.3</c:v>
                </c:pt>
                <c:pt idx="5" formatCode="0.0">
                  <c:v>125</c:v>
                </c:pt>
              </c:numCache>
            </c:numRef>
          </c:val>
          <c:smooth val="0"/>
        </c:ser>
        <c:ser>
          <c:idx val="1"/>
          <c:order val="1"/>
          <c:tx>
            <c:strRef>
              <c:f>[1]tall!$K$66</c:f>
              <c:strCache>
                <c:ptCount val="1"/>
                <c:pt idx="0">
                  <c:v>Secondary care</c:v>
                </c:pt>
              </c:strCache>
            </c:strRef>
          </c:tx>
          <c:spPr>
            <a:ln w="28575" cap="rnd">
              <a:solidFill>
                <a:schemeClr val="accent2"/>
              </a:solidFill>
              <a:prstDash val="sysDot"/>
              <a:round/>
            </a:ln>
            <a:effectLst/>
          </c:spPr>
          <c:marker>
            <c:symbol val="none"/>
          </c:marker>
          <c:cat>
            <c:numRef>
              <c:f>[1]tall!$L$64:$Q$64</c:f>
              <c:numCache>
                <c:formatCode>General</c:formatCode>
                <c:ptCount val="6"/>
                <c:pt idx="0">
                  <c:v>2009</c:v>
                </c:pt>
                <c:pt idx="1">
                  <c:v>2010</c:v>
                </c:pt>
                <c:pt idx="2">
                  <c:v>2011</c:v>
                </c:pt>
                <c:pt idx="3">
                  <c:v>2012</c:v>
                </c:pt>
                <c:pt idx="4">
                  <c:v>2013</c:v>
                </c:pt>
                <c:pt idx="5">
                  <c:v>2014</c:v>
                </c:pt>
              </c:numCache>
            </c:numRef>
          </c:cat>
          <c:val>
            <c:numRef>
              <c:f>[1]tall!$L$66:$Q$66</c:f>
              <c:numCache>
                <c:formatCode>General</c:formatCode>
                <c:ptCount val="6"/>
                <c:pt idx="0">
                  <c:v>56.9</c:v>
                </c:pt>
                <c:pt idx="1">
                  <c:v>57.3</c:v>
                </c:pt>
                <c:pt idx="2">
                  <c:v>57.1</c:v>
                </c:pt>
                <c:pt idx="3">
                  <c:v>55.8</c:v>
                </c:pt>
                <c:pt idx="4">
                  <c:v>57.2</c:v>
                </c:pt>
                <c:pt idx="5">
                  <c:v>56.4</c:v>
                </c:pt>
              </c:numCache>
            </c:numRef>
          </c:val>
          <c:smooth val="0"/>
        </c:ser>
        <c:ser>
          <c:idx val="2"/>
          <c:order val="2"/>
          <c:tx>
            <c:strRef>
              <c:f>[1]tall!$K$67</c:f>
              <c:strCache>
                <c:ptCount val="1"/>
                <c:pt idx="0">
                  <c:v>Primary care</c:v>
                </c:pt>
              </c:strCache>
            </c:strRef>
          </c:tx>
          <c:spPr>
            <a:ln w="28575" cap="rnd">
              <a:solidFill>
                <a:schemeClr val="accent3"/>
              </a:solidFill>
              <a:prstDash val="dash"/>
              <a:round/>
            </a:ln>
            <a:effectLst/>
          </c:spPr>
          <c:marker>
            <c:symbol val="none"/>
          </c:marker>
          <c:cat>
            <c:numRef>
              <c:f>[1]tall!$L$64:$Q$64</c:f>
              <c:numCache>
                <c:formatCode>General</c:formatCode>
                <c:ptCount val="6"/>
                <c:pt idx="0">
                  <c:v>2009</c:v>
                </c:pt>
                <c:pt idx="1">
                  <c:v>2010</c:v>
                </c:pt>
                <c:pt idx="2">
                  <c:v>2011</c:v>
                </c:pt>
                <c:pt idx="3">
                  <c:v>2012</c:v>
                </c:pt>
                <c:pt idx="4">
                  <c:v>2013</c:v>
                </c:pt>
                <c:pt idx="5">
                  <c:v>2014</c:v>
                </c:pt>
              </c:numCache>
            </c:numRef>
          </c:cat>
          <c:val>
            <c:numRef>
              <c:f>[1]tall!$L$67:$Q$67</c:f>
              <c:numCache>
                <c:formatCode>General</c:formatCode>
                <c:ptCount val="6"/>
                <c:pt idx="0">
                  <c:v>92.4</c:v>
                </c:pt>
                <c:pt idx="1">
                  <c:v>94.5</c:v>
                </c:pt>
                <c:pt idx="2">
                  <c:v>93.8</c:v>
                </c:pt>
                <c:pt idx="3">
                  <c:v>91.9</c:v>
                </c:pt>
                <c:pt idx="4" formatCode="0.0">
                  <c:v>92</c:v>
                </c:pt>
                <c:pt idx="5">
                  <c:v>93.2</c:v>
                </c:pt>
              </c:numCache>
            </c:numRef>
          </c:val>
          <c:smooth val="0"/>
        </c:ser>
        <c:dLbls>
          <c:showLegendKey val="0"/>
          <c:showVal val="0"/>
          <c:showCatName val="0"/>
          <c:showSerName val="0"/>
          <c:showPercent val="0"/>
          <c:showBubbleSize val="0"/>
        </c:dLbls>
        <c:smooth val="0"/>
        <c:axId val="201696016"/>
        <c:axId val="201696408"/>
      </c:lineChart>
      <c:catAx>
        <c:axId val="20169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01696408"/>
        <c:crosses val="autoZero"/>
        <c:auto val="1"/>
        <c:lblAlgn val="ctr"/>
        <c:lblOffset val="100"/>
        <c:noMultiLvlLbl val="0"/>
      </c:catAx>
      <c:valAx>
        <c:axId val="20169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Injured patients per 1000</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01696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'3 grupper'!$K$46</c:f>
              <c:strCache>
                <c:ptCount val="1"/>
                <c:pt idx="0">
                  <c:v>Exclusively primary care</c:v>
                </c:pt>
              </c:strCache>
            </c:strRef>
          </c:tx>
          <c:spPr>
            <a:ln w="28575" cap="rnd">
              <a:solidFill>
                <a:schemeClr val="accent2"/>
              </a:solidFill>
              <a:prstDash val="sysDot"/>
              <a:round/>
            </a:ln>
            <a:effectLst/>
          </c:spPr>
          <c:marker>
            <c:symbol val="none"/>
          </c:marker>
          <c:cat>
            <c:strRef>
              <c:f>'3 grupper'!$J$47:$J$65</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'3 grupper'!$K$47:$K$65</c:f>
              <c:numCache>
                <c:formatCode>0.0</c:formatCode>
                <c:ptCount val="19"/>
                <c:pt idx="0">
                  <c:v>90.198722908231758</c:v>
                </c:pt>
                <c:pt idx="1">
                  <c:v>83.563427089332748</c:v>
                </c:pt>
                <c:pt idx="2">
                  <c:v>74.899204895811863</c:v>
                </c:pt>
                <c:pt idx="3">
                  <c:v>74.453320173950587</c:v>
                </c:pt>
                <c:pt idx="4">
                  <c:v>75.030425512389655</c:v>
                </c:pt>
                <c:pt idx="5">
                  <c:v>64.316304601656483</c:v>
                </c:pt>
                <c:pt idx="6">
                  <c:v>59.670161043311978</c:v>
                </c:pt>
                <c:pt idx="7">
                  <c:v>59.602422758556877</c:v>
                </c:pt>
                <c:pt idx="8">
                  <c:v>62.380105775000985</c:v>
                </c:pt>
                <c:pt idx="9">
                  <c:v>62.598343402637219</c:v>
                </c:pt>
                <c:pt idx="10">
                  <c:v>62.303066754570963</c:v>
                </c:pt>
                <c:pt idx="11">
                  <c:v>63.21774339653463</c:v>
                </c:pt>
                <c:pt idx="12">
                  <c:v>61.250123390102907</c:v>
                </c:pt>
                <c:pt idx="13">
                  <c:v>60.501470059263525</c:v>
                </c:pt>
                <c:pt idx="14">
                  <c:v>61.304554095954394</c:v>
                </c:pt>
                <c:pt idx="15">
                  <c:v>63.855648851123739</c:v>
                </c:pt>
                <c:pt idx="16">
                  <c:v>70.533658430545159</c:v>
                </c:pt>
                <c:pt idx="17">
                  <c:v>78.618395641248185</c:v>
                </c:pt>
                <c:pt idx="18">
                  <c:v>86.84156533106021</c:v>
                </c:pt>
              </c:numCache>
            </c:numRef>
          </c:val>
          <c:smooth val="0"/>
        </c:ser>
        <c:ser>
          <c:idx val="1"/>
          <c:order val="1"/>
          <c:tx>
            <c:strRef>
              <c:f>'3 grupper'!$L$46</c:f>
              <c:strCache>
                <c:ptCount val="1"/>
                <c:pt idx="0">
                  <c:v>Secondary care</c:v>
                </c:pt>
              </c:strCache>
            </c:strRef>
          </c:tx>
          <c:spPr>
            <a:ln w="28575" cap="rnd">
              <a:solidFill>
                <a:schemeClr val="accent1"/>
              </a:solidFill>
              <a:prstDash val="dash"/>
              <a:round/>
            </a:ln>
            <a:effectLst/>
          </c:spPr>
          <c:marker>
            <c:symbol val="none"/>
          </c:marker>
          <c:cat>
            <c:strRef>
              <c:f>'3 grupper'!$J$47:$J$65</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'3 grupper'!$L$47:$L$65</c:f>
              <c:numCache>
                <c:formatCode>0.0</c:formatCode>
                <c:ptCount val="19"/>
                <c:pt idx="0">
                  <c:v>48.151985474390401</c:v>
                </c:pt>
                <c:pt idx="1">
                  <c:v>56.640673255519644</c:v>
                </c:pt>
                <c:pt idx="2">
                  <c:v>90.753160483666761</c:v>
                </c:pt>
                <c:pt idx="3">
                  <c:v>80.561638343151458</c:v>
                </c:pt>
                <c:pt idx="4">
                  <c:v>69.266129739343924</c:v>
                </c:pt>
                <c:pt idx="5">
                  <c:v>55.852347018660311</c:v>
                </c:pt>
                <c:pt idx="6">
                  <c:v>47.250214645879268</c:v>
                </c:pt>
                <c:pt idx="7">
                  <c:v>43.538480153166169</c:v>
                </c:pt>
                <c:pt idx="8">
                  <c:v>43.533984285177482</c:v>
                </c:pt>
                <c:pt idx="9">
                  <c:v>43.005998843682221</c:v>
                </c:pt>
                <c:pt idx="10">
                  <c:v>43.388736170174482</c:v>
                </c:pt>
                <c:pt idx="11">
                  <c:v>44.390833386094727</c:v>
                </c:pt>
                <c:pt idx="12">
                  <c:v>44.641598429406827</c:v>
                </c:pt>
                <c:pt idx="13">
                  <c:v>47.002954465567612</c:v>
                </c:pt>
                <c:pt idx="14">
                  <c:v>51.613446521918576</c:v>
                </c:pt>
                <c:pt idx="15">
                  <c:v>62.231635577454874</c:v>
                </c:pt>
                <c:pt idx="16">
                  <c:v>82.995375612929791</c:v>
                </c:pt>
                <c:pt idx="17">
                  <c:v>118.09118297941954</c:v>
                </c:pt>
                <c:pt idx="18">
                  <c:v>169.55849474056043</c:v>
                </c:pt>
              </c:numCache>
            </c:numRef>
          </c:val>
          <c:smooth val="0"/>
        </c:ser>
        <c:ser>
          <c:idx val="2"/>
          <c:order val="2"/>
          <c:tx>
            <c:strRef>
              <c:f>'3 grupper'!$M$46</c:f>
              <c:strCache>
                <c:ptCount val="1"/>
                <c:pt idx="0">
                  <c:v>Total</c:v>
                </c:pt>
              </c:strCache>
            </c:strRef>
          </c:tx>
          <c:spPr>
            <a:ln w="28575" cap="rnd">
              <a:solidFill>
                <a:schemeClr val="accent6"/>
              </a:solidFill>
              <a:prstDash val="solid"/>
              <a:round/>
            </a:ln>
            <a:effectLst/>
          </c:spPr>
          <c:marker>
            <c:symbol val="none"/>
          </c:marker>
          <c:cat>
            <c:strRef>
              <c:f>'3 grupper'!$J$47:$J$65</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'3 grupper'!$M$47:$M$65</c:f>
              <c:numCache>
                <c:formatCode>0.0</c:formatCode>
                <c:ptCount val="19"/>
                <c:pt idx="0">
                  <c:v>138.35070838262214</c:v>
                </c:pt>
                <c:pt idx="1">
                  <c:v>140.20410034485241</c:v>
                </c:pt>
                <c:pt idx="2">
                  <c:v>165.65236537947862</c:v>
                </c:pt>
                <c:pt idx="3">
                  <c:v>155.01495851710206</c:v>
                </c:pt>
                <c:pt idx="4">
                  <c:v>144.29655525173359</c:v>
                </c:pt>
                <c:pt idx="5">
                  <c:v>120.16865162031679</c:v>
                </c:pt>
                <c:pt idx="6">
                  <c:v>106.92037568919125</c:v>
                </c:pt>
                <c:pt idx="7">
                  <c:v>103.14090291172305</c:v>
                </c:pt>
                <c:pt idx="8">
                  <c:v>105.91409006017847</c:v>
                </c:pt>
                <c:pt idx="9">
                  <c:v>105.60434224631945</c:v>
                </c:pt>
                <c:pt idx="10">
                  <c:v>105.69180292474545</c:v>
                </c:pt>
                <c:pt idx="11">
                  <c:v>107.60857678262936</c:v>
                </c:pt>
                <c:pt idx="12">
                  <c:v>105.89172181950974</c:v>
                </c:pt>
                <c:pt idx="13">
                  <c:v>107.50442452483114</c:v>
                </c:pt>
                <c:pt idx="14">
                  <c:v>112.91800061787296</c:v>
                </c:pt>
                <c:pt idx="15">
                  <c:v>126.08728442857861</c:v>
                </c:pt>
                <c:pt idx="16">
                  <c:v>153.52903404347495</c:v>
                </c:pt>
                <c:pt idx="17">
                  <c:v>196.70957862066774</c:v>
                </c:pt>
                <c:pt idx="18">
                  <c:v>256.40006007162066</c:v>
                </c:pt>
              </c:numCache>
            </c:numRef>
          </c:val>
          <c:smooth val="0"/>
        </c:ser>
        <c:dLbls>
          <c:showLegendKey val="0"/>
          <c:showVal val="0"/>
          <c:showCatName val="0"/>
          <c:showSerName val="0"/>
          <c:showPercent val="0"/>
          <c:showBubbleSize val="0"/>
        </c:dLbls>
        <c:smooth val="0"/>
        <c:axId val="640344864"/>
        <c:axId val="640346824"/>
      </c:lineChart>
      <c:catAx>
        <c:axId val="640344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layout>
            <c:manualLayout>
              <c:xMode val="edge"/>
              <c:yMode val="edge"/>
              <c:x val="0.47996849728384711"/>
              <c:y val="0.835192569812893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cross"/>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40346824"/>
        <c:crosses val="autoZero"/>
        <c:auto val="1"/>
        <c:lblAlgn val="ctr"/>
        <c:lblOffset val="100"/>
        <c:noMultiLvlLbl val="0"/>
      </c:catAx>
      <c:valAx>
        <c:axId val="640346824"/>
        <c:scaling>
          <c:orientation val="minMax"/>
          <c:max val="28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Patients per 1000 inhabitants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40344864"/>
        <c:crosses val="autoZero"/>
        <c:crossBetween val="between"/>
        <c:majorUnit val="4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35801445871897"/>
          <c:y val="6.1998541210795038E-2"/>
          <c:w val="0.86339592166363821"/>
          <c:h val="0.61604007650028425"/>
        </c:manualLayout>
      </c:layout>
      <c:lineChart>
        <c:grouping val="standard"/>
        <c:varyColors val="0"/>
        <c:ser>
          <c:idx val="0"/>
          <c:order val="0"/>
          <c:tx>
            <c:strRef>
              <c:f>'3 grupper'!$L$226</c:f>
              <c:strCache>
                <c:ptCount val="1"/>
                <c:pt idx="0">
                  <c:v>Exclusively primary care - men</c:v>
                </c:pt>
              </c:strCache>
            </c:strRef>
          </c:tx>
          <c:spPr>
            <a:ln w="28575" cap="rnd">
              <a:solidFill>
                <a:schemeClr val="accent1"/>
              </a:solidFill>
              <a:round/>
            </a:ln>
            <a:effectLst/>
          </c:spPr>
          <c:marker>
            <c:symbol val="none"/>
          </c:marker>
          <c:cat>
            <c:strRef>
              <c:f>'3 grupper'!$K$227:$K$245</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'3 grupper'!$L$227:$L$245</c:f>
              <c:numCache>
                <c:formatCode>0.0</c:formatCode>
                <c:ptCount val="19"/>
                <c:pt idx="0">
                  <c:v>100.0094692984302</c:v>
                </c:pt>
                <c:pt idx="1">
                  <c:v>93.789912057858984</c:v>
                </c:pt>
                <c:pt idx="2">
                  <c:v>81.562195780797737</c:v>
                </c:pt>
                <c:pt idx="3">
                  <c:v>80.876827201231123</c:v>
                </c:pt>
                <c:pt idx="4">
                  <c:v>88.325745107696733</c:v>
                </c:pt>
                <c:pt idx="5">
                  <c:v>77.208788974277397</c:v>
                </c:pt>
                <c:pt idx="6">
                  <c:v>70.671336154674648</c:v>
                </c:pt>
                <c:pt idx="7">
                  <c:v>68.265061342934231</c:v>
                </c:pt>
                <c:pt idx="8">
                  <c:v>70.102270650116409</c:v>
                </c:pt>
                <c:pt idx="9">
                  <c:v>68.994347876386129</c:v>
                </c:pt>
                <c:pt idx="10">
                  <c:v>65.866900711831562</c:v>
                </c:pt>
                <c:pt idx="11">
                  <c:v>66.361210739168371</c:v>
                </c:pt>
                <c:pt idx="12">
                  <c:v>64.401035618747798</c:v>
                </c:pt>
                <c:pt idx="13">
                  <c:v>63.655371956091471</c:v>
                </c:pt>
                <c:pt idx="14">
                  <c:v>63.654865503063121</c:v>
                </c:pt>
                <c:pt idx="15">
                  <c:v>64.949134776991826</c:v>
                </c:pt>
                <c:pt idx="16">
                  <c:v>72.247100091152177</c:v>
                </c:pt>
                <c:pt idx="17">
                  <c:v>80.428160711583629</c:v>
                </c:pt>
                <c:pt idx="18">
                  <c:v>94.800745919213995</c:v>
                </c:pt>
              </c:numCache>
            </c:numRef>
          </c:val>
          <c:smooth val="0"/>
        </c:ser>
        <c:ser>
          <c:idx val="1"/>
          <c:order val="1"/>
          <c:tx>
            <c:strRef>
              <c:f>'3 grupper'!$M$226</c:f>
              <c:strCache>
                <c:ptCount val="1"/>
                <c:pt idx="0">
                  <c:v>Secondary care - men</c:v>
                </c:pt>
              </c:strCache>
            </c:strRef>
          </c:tx>
          <c:spPr>
            <a:ln w="28575" cap="rnd" cmpd="sng">
              <a:solidFill>
                <a:schemeClr val="accent1"/>
              </a:solidFill>
              <a:prstDash val="sysDash"/>
              <a:round/>
            </a:ln>
            <a:effectLst/>
          </c:spPr>
          <c:marker>
            <c:symbol val="none"/>
          </c:marker>
          <c:cat>
            <c:strRef>
              <c:f>'3 grupper'!$K$227:$K$245</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'3 grupper'!$M$227:$M$245</c:f>
              <c:numCache>
                <c:formatCode>0.0</c:formatCode>
                <c:ptCount val="19"/>
                <c:pt idx="0">
                  <c:v>52.655612137536295</c:v>
                </c:pt>
                <c:pt idx="1">
                  <c:v>61.944050881193789</c:v>
                </c:pt>
                <c:pt idx="2">
                  <c:v>97.173713894971456</c:v>
                </c:pt>
                <c:pt idx="3">
                  <c:v>92.381219764815711</c:v>
                </c:pt>
                <c:pt idx="4">
                  <c:v>86.276523751746893</c:v>
                </c:pt>
                <c:pt idx="5">
                  <c:v>71.053937400384513</c:v>
                </c:pt>
                <c:pt idx="6">
                  <c:v>58.787284777119652</c:v>
                </c:pt>
                <c:pt idx="7">
                  <c:v>51.929118527048956</c:v>
                </c:pt>
                <c:pt idx="8">
                  <c:v>50.395004735519805</c:v>
                </c:pt>
                <c:pt idx="9">
                  <c:v>48.200911953990243</c:v>
                </c:pt>
                <c:pt idx="10">
                  <c:v>44.889246364856248</c:v>
                </c:pt>
                <c:pt idx="11">
                  <c:v>42.756978636655475</c:v>
                </c:pt>
                <c:pt idx="12">
                  <c:v>41.674766398013631</c:v>
                </c:pt>
                <c:pt idx="13">
                  <c:v>42.238830355979516</c:v>
                </c:pt>
                <c:pt idx="14">
                  <c:v>44.491735332485675</c:v>
                </c:pt>
                <c:pt idx="15">
                  <c:v>51.799266571524775</c:v>
                </c:pt>
                <c:pt idx="16">
                  <c:v>67.122869720611945</c:v>
                </c:pt>
                <c:pt idx="17">
                  <c:v>95.066414910624417</c:v>
                </c:pt>
                <c:pt idx="18">
                  <c:v>139.37516943374217</c:v>
                </c:pt>
              </c:numCache>
            </c:numRef>
          </c:val>
          <c:smooth val="0"/>
        </c:ser>
        <c:ser>
          <c:idx val="2"/>
          <c:order val="2"/>
          <c:tx>
            <c:strRef>
              <c:f>'3 grupper'!$N$226</c:f>
              <c:strCache>
                <c:ptCount val="1"/>
                <c:pt idx="0">
                  <c:v>Exclusively primary care - women</c:v>
                </c:pt>
              </c:strCache>
            </c:strRef>
          </c:tx>
          <c:spPr>
            <a:ln w="28575" cap="rnd">
              <a:solidFill>
                <a:srgbClr val="FF0000"/>
              </a:solidFill>
              <a:prstDash val="lgDash"/>
              <a:round/>
            </a:ln>
            <a:effectLst/>
          </c:spPr>
          <c:marker>
            <c:symbol val="none"/>
          </c:marker>
          <c:cat>
            <c:strRef>
              <c:f>'3 grupper'!$K$227:$K$245</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'3 grupper'!$N$227:$N$245</c:f>
              <c:numCache>
                <c:formatCode>0.0</c:formatCode>
                <c:ptCount val="19"/>
                <c:pt idx="0">
                  <c:v>79.858096096755489</c:v>
                </c:pt>
                <c:pt idx="1">
                  <c:v>72.871251990664916</c:v>
                </c:pt>
                <c:pt idx="2">
                  <c:v>67.901951927588797</c:v>
                </c:pt>
                <c:pt idx="3">
                  <c:v>67.621386849428703</c:v>
                </c:pt>
                <c:pt idx="4">
                  <c:v>61.154091488735908</c:v>
                </c:pt>
                <c:pt idx="5">
                  <c:v>50.980628114740163</c:v>
                </c:pt>
                <c:pt idx="6">
                  <c:v>48.113421711143886</c:v>
                </c:pt>
                <c:pt idx="7">
                  <c:v>50.455728690348856</c:v>
                </c:pt>
                <c:pt idx="8">
                  <c:v>54.205282904544546</c:v>
                </c:pt>
                <c:pt idx="9">
                  <c:v>55.802642288167888</c:v>
                </c:pt>
                <c:pt idx="10">
                  <c:v>58.569672269190605</c:v>
                </c:pt>
                <c:pt idx="11">
                  <c:v>59.98844238975817</c:v>
                </c:pt>
                <c:pt idx="12">
                  <c:v>58.037911710820616</c:v>
                </c:pt>
                <c:pt idx="13">
                  <c:v>57.403756046563274</c:v>
                </c:pt>
                <c:pt idx="14">
                  <c:v>59.183249545664978</c:v>
                </c:pt>
                <c:pt idx="15">
                  <c:v>62.974935975481763</c:v>
                </c:pt>
                <c:pt idx="16">
                  <c:v>69.358753787859087</c:v>
                </c:pt>
                <c:pt idx="17">
                  <c:v>77.663669145897472</c:v>
                </c:pt>
                <c:pt idx="18">
                  <c:v>84.08158614402916</c:v>
                </c:pt>
              </c:numCache>
            </c:numRef>
          </c:val>
          <c:smooth val="0"/>
        </c:ser>
        <c:ser>
          <c:idx val="3"/>
          <c:order val="3"/>
          <c:tx>
            <c:strRef>
              <c:f>'3 grupper'!$O$226</c:f>
              <c:strCache>
                <c:ptCount val="1"/>
                <c:pt idx="0">
                  <c:v>Secondary care - women</c:v>
                </c:pt>
              </c:strCache>
            </c:strRef>
          </c:tx>
          <c:spPr>
            <a:ln w="28575" cap="rnd">
              <a:solidFill>
                <a:srgbClr val="FF0000"/>
              </a:solidFill>
              <a:prstDash val="sysDot"/>
              <a:round/>
            </a:ln>
            <a:effectLst/>
          </c:spPr>
          <c:marker>
            <c:symbol val="none"/>
          </c:marker>
          <c:cat>
            <c:strRef>
              <c:f>'3 grupper'!$K$227:$K$245</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'3 grupper'!$O$227:$O$245</c:f>
              <c:numCache>
                <c:formatCode>0.0</c:formatCode>
                <c:ptCount val="19"/>
                <c:pt idx="0">
                  <c:v>43.405117013053697</c:v>
                </c:pt>
                <c:pt idx="1">
                  <c:v>51.095792256566099</c:v>
                </c:pt>
                <c:pt idx="2">
                  <c:v>84.010507343299821</c:v>
                </c:pt>
                <c:pt idx="3">
                  <c:v>67.990531648067105</c:v>
                </c:pt>
                <c:pt idx="4">
                  <c:v>51.512370042331412</c:v>
                </c:pt>
                <c:pt idx="5">
                  <c:v>40.128186681665383</c:v>
                </c:pt>
                <c:pt idx="6">
                  <c:v>35.130517357725452</c:v>
                </c:pt>
                <c:pt idx="7">
                  <c:v>34.67898526655263</c:v>
                </c:pt>
                <c:pt idx="8">
                  <c:v>36.270784418405754</c:v>
                </c:pt>
                <c:pt idx="9">
                  <c:v>37.486447230141948</c:v>
                </c:pt>
                <c:pt idx="10">
                  <c:v>41.816834517834891</c:v>
                </c:pt>
                <c:pt idx="11">
                  <c:v>46.069301209103841</c:v>
                </c:pt>
                <c:pt idx="12">
                  <c:v>47.66614872156417</c:v>
                </c:pt>
                <c:pt idx="13">
                  <c:v>51.682204009555328</c:v>
                </c:pt>
                <c:pt idx="14">
                  <c:v>58.041240858574426</c:v>
                </c:pt>
                <c:pt idx="15">
                  <c:v>70.634049810337643</c:v>
                </c:pt>
                <c:pt idx="16">
                  <c:v>93.879131560208123</c:v>
                </c:pt>
                <c:pt idx="17">
                  <c:v>130.23770767751722</c:v>
                </c:pt>
                <c:pt idx="18">
                  <c:v>180.02506836827712</c:v>
                </c:pt>
              </c:numCache>
            </c:numRef>
          </c:val>
          <c:smooth val="0"/>
        </c:ser>
        <c:dLbls>
          <c:showLegendKey val="0"/>
          <c:showVal val="0"/>
          <c:showCatName val="0"/>
          <c:showSerName val="0"/>
          <c:showPercent val="0"/>
          <c:showBubbleSize val="0"/>
        </c:dLbls>
        <c:smooth val="0"/>
        <c:axId val="641886344"/>
        <c:axId val="641886736"/>
      </c:lineChart>
      <c:catAx>
        <c:axId val="641886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layout>
            <c:manualLayout>
              <c:xMode val="edge"/>
              <c:yMode val="edge"/>
              <c:x val="0.49891382504312465"/>
              <c:y val="0.785927818964149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cross"/>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41886736"/>
        <c:crosses val="autoZero"/>
        <c:auto val="1"/>
        <c:lblAlgn val="ctr"/>
        <c:lblOffset val="100"/>
        <c:noMultiLvlLbl val="0"/>
      </c:catAx>
      <c:valAx>
        <c:axId val="641886736"/>
        <c:scaling>
          <c:orientation val="minMax"/>
          <c:max val="1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inhabitants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41886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4DF0-D02E-4A75-BCCA-14196046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21</Pages>
  <Words>4863</Words>
  <Characters>25777</Characters>
  <Application>Microsoft Office Word</Application>
  <DocSecurity>0</DocSecurity>
  <Lines>214</Lines>
  <Paragraphs>61</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30579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 Eyvind</dc:creator>
  <cp:keywords/>
  <dc:description/>
  <cp:lastModifiedBy>Ohm, Eyvind</cp:lastModifiedBy>
  <cp:revision>32</cp:revision>
  <cp:lastPrinted>2018-06-22T11:33:00Z</cp:lastPrinted>
  <dcterms:created xsi:type="dcterms:W3CDTF">2018-09-18T13:48:00Z</dcterms:created>
  <dcterms:modified xsi:type="dcterms:W3CDTF">2019-03-21T08:31:00Z</dcterms:modified>
</cp:coreProperties>
</file>