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1AB85" w14:textId="0EC0E72F" w:rsidR="0093332A" w:rsidRPr="007F78BA" w:rsidRDefault="00472F19" w:rsidP="00472F19">
      <w:pPr>
        <w:jc w:val="both"/>
        <w:rPr>
          <w:rFonts w:ascii="Times New Roman" w:eastAsia="Times New Roman" w:hAnsi="Times New Roman" w:cs="Times New Roman"/>
          <w:b/>
          <w:lang w:val="en-GB"/>
        </w:rPr>
      </w:pPr>
      <w:r w:rsidRPr="007F78BA">
        <w:rPr>
          <w:rFonts w:ascii="Times New Roman" w:eastAsia="Times New Roman" w:hAnsi="Times New Roman" w:cs="Times New Roman"/>
          <w:b/>
          <w:lang w:val="en-GB"/>
        </w:rPr>
        <w:t xml:space="preserve">Comparison of the Influence of Internalised Homonegativity on Sexual Risk Behaviour of Men Who Have Sex with Men in Spain and Turkey </w:t>
      </w:r>
    </w:p>
    <w:p w14:paraId="31D8D11F" w14:textId="65DB6B20" w:rsidR="00472F19" w:rsidRPr="007F78BA" w:rsidRDefault="00472F19" w:rsidP="0093332A">
      <w:pPr>
        <w:rPr>
          <w:lang w:val="en-GB"/>
        </w:rPr>
      </w:pPr>
    </w:p>
    <w:p w14:paraId="60C8C340" w14:textId="77777777" w:rsidR="004F7A81" w:rsidRPr="007F78BA" w:rsidRDefault="004F7A81" w:rsidP="007A1775">
      <w:pPr>
        <w:spacing w:line="276" w:lineRule="auto"/>
        <w:rPr>
          <w:rFonts w:ascii="Times New Roman" w:hAnsi="Times New Roman" w:cs="Times New Roman"/>
          <w:b/>
          <w:sz w:val="20"/>
          <w:szCs w:val="20"/>
          <w:lang w:val="en-GB"/>
        </w:rPr>
      </w:pPr>
      <w:r w:rsidRPr="007F78BA">
        <w:rPr>
          <w:rFonts w:ascii="Times New Roman" w:hAnsi="Times New Roman" w:cs="Times New Roman"/>
          <w:b/>
          <w:sz w:val="20"/>
          <w:szCs w:val="20"/>
          <w:lang w:val="en-GB"/>
        </w:rPr>
        <w:t xml:space="preserve">Authors </w:t>
      </w:r>
    </w:p>
    <w:p w14:paraId="10F75E7F" w14:textId="77777777" w:rsidR="004F7A81" w:rsidRPr="007F78BA" w:rsidRDefault="004F7A81" w:rsidP="007A1775">
      <w:pPr>
        <w:spacing w:line="276" w:lineRule="auto"/>
        <w:rPr>
          <w:rFonts w:ascii="Times New Roman" w:hAnsi="Times New Roman" w:cs="Times New Roman"/>
          <w:sz w:val="20"/>
          <w:szCs w:val="20"/>
          <w:lang w:val="en-GB"/>
        </w:rPr>
      </w:pPr>
      <w:r w:rsidRPr="007F78BA">
        <w:rPr>
          <w:rFonts w:ascii="Times New Roman" w:hAnsi="Times New Roman" w:cs="Times New Roman"/>
          <w:sz w:val="20"/>
          <w:szCs w:val="20"/>
          <w:lang w:val="en-GB"/>
        </w:rPr>
        <w:t>İbrahim Sönmez</w:t>
      </w:r>
      <w:r w:rsidRPr="007F78BA">
        <w:rPr>
          <w:rFonts w:ascii="Times New Roman" w:hAnsi="Times New Roman" w:cs="Times New Roman"/>
          <w:sz w:val="20"/>
          <w:szCs w:val="20"/>
          <w:vertAlign w:val="superscript"/>
          <w:lang w:val="en-GB"/>
        </w:rPr>
        <w:t>1</w:t>
      </w:r>
      <w:r w:rsidRPr="007F78BA">
        <w:rPr>
          <w:rFonts w:ascii="Times New Roman" w:hAnsi="Times New Roman" w:cs="Times New Roman"/>
          <w:sz w:val="20"/>
          <w:szCs w:val="20"/>
          <w:lang w:val="en-GB"/>
        </w:rPr>
        <w:t xml:space="preserve"> (ORCID: 0000-0001-8941-0468) </w:t>
      </w:r>
    </w:p>
    <w:p w14:paraId="346A48AD" w14:textId="7073720C" w:rsidR="004F7A81" w:rsidRPr="007F78BA" w:rsidRDefault="004F7A81" w:rsidP="007A1775">
      <w:pPr>
        <w:spacing w:line="276" w:lineRule="auto"/>
        <w:rPr>
          <w:rFonts w:ascii="Times New Roman" w:hAnsi="Times New Roman" w:cs="Times New Roman"/>
          <w:sz w:val="20"/>
          <w:szCs w:val="20"/>
          <w:lang w:val="en-GB"/>
        </w:rPr>
      </w:pPr>
      <w:r w:rsidRPr="007F78BA">
        <w:rPr>
          <w:rFonts w:ascii="Times New Roman" w:hAnsi="Times New Roman" w:cs="Times New Roman"/>
          <w:sz w:val="20"/>
          <w:szCs w:val="20"/>
          <w:lang w:val="en-GB"/>
        </w:rPr>
        <w:t>Rigmor C Berg</w:t>
      </w:r>
      <w:r w:rsidR="002B5104" w:rsidRPr="007F78BA">
        <w:rPr>
          <w:rFonts w:ascii="Times New Roman" w:hAnsi="Times New Roman" w:cs="Times New Roman"/>
          <w:sz w:val="20"/>
          <w:szCs w:val="20"/>
          <w:vertAlign w:val="superscript"/>
          <w:lang w:val="en-GB"/>
        </w:rPr>
        <w:t>2</w:t>
      </w:r>
      <w:r w:rsidR="007A1775" w:rsidRPr="007F78BA">
        <w:rPr>
          <w:rFonts w:ascii="Times New Roman" w:hAnsi="Times New Roman" w:cs="Times New Roman"/>
          <w:sz w:val="20"/>
          <w:szCs w:val="20"/>
          <w:vertAlign w:val="superscript"/>
          <w:lang w:val="en-GB"/>
        </w:rPr>
        <w:t>, 3</w:t>
      </w:r>
      <w:r w:rsidRPr="007F78BA">
        <w:rPr>
          <w:rFonts w:ascii="Times New Roman" w:hAnsi="Times New Roman" w:cs="Times New Roman"/>
          <w:sz w:val="20"/>
          <w:szCs w:val="20"/>
          <w:lang w:val="en-GB"/>
        </w:rPr>
        <w:t xml:space="preserve"> (ORCID: 0000-0002-6915-0993) </w:t>
      </w:r>
    </w:p>
    <w:p w14:paraId="6C72F5CD" w14:textId="31CD6FC6" w:rsidR="004F7A81" w:rsidRPr="007F78BA" w:rsidRDefault="004F7A81" w:rsidP="007A1775">
      <w:pPr>
        <w:spacing w:line="276" w:lineRule="auto"/>
        <w:rPr>
          <w:rFonts w:ascii="Times New Roman" w:hAnsi="Times New Roman" w:cs="Times New Roman"/>
          <w:sz w:val="20"/>
          <w:szCs w:val="20"/>
          <w:lang w:val="en-GB"/>
        </w:rPr>
      </w:pPr>
      <w:r w:rsidRPr="007F78BA">
        <w:rPr>
          <w:rFonts w:ascii="Times New Roman" w:hAnsi="Times New Roman" w:cs="Times New Roman"/>
          <w:sz w:val="20"/>
          <w:szCs w:val="20"/>
          <w:lang w:val="en-GB"/>
        </w:rPr>
        <w:t>Natalie Thurlby</w:t>
      </w:r>
      <w:r w:rsidR="007A1775" w:rsidRPr="007F78BA">
        <w:rPr>
          <w:rFonts w:ascii="Times New Roman" w:hAnsi="Times New Roman" w:cs="Times New Roman"/>
          <w:sz w:val="20"/>
          <w:szCs w:val="20"/>
          <w:vertAlign w:val="superscript"/>
          <w:lang w:val="en-GB"/>
        </w:rPr>
        <w:t>4</w:t>
      </w:r>
      <w:r w:rsidRPr="007F78BA">
        <w:rPr>
          <w:rFonts w:ascii="Times New Roman" w:hAnsi="Times New Roman" w:cs="Times New Roman"/>
          <w:sz w:val="20"/>
          <w:szCs w:val="20"/>
          <w:lang w:val="en-GB"/>
        </w:rPr>
        <w:t xml:space="preserve"> (ORCID: 0000-0002-1007-0286) </w:t>
      </w:r>
    </w:p>
    <w:p w14:paraId="2875D86E" w14:textId="4DCDB37E" w:rsidR="001A3504" w:rsidRPr="001A3504" w:rsidRDefault="004F7A81" w:rsidP="007A1775">
      <w:pPr>
        <w:spacing w:line="276" w:lineRule="auto"/>
        <w:rPr>
          <w:rFonts w:ascii="Times New Roman" w:hAnsi="Times New Roman" w:cs="Times New Roman"/>
          <w:sz w:val="20"/>
          <w:szCs w:val="20"/>
          <w:lang w:val="en-GB"/>
        </w:rPr>
      </w:pPr>
      <w:r w:rsidRPr="007F78BA">
        <w:rPr>
          <w:rFonts w:ascii="Times New Roman" w:hAnsi="Times New Roman" w:cs="Times New Roman"/>
          <w:sz w:val="20"/>
          <w:szCs w:val="20"/>
          <w:lang w:val="en-GB"/>
        </w:rPr>
        <w:t>Sami Sarper Yazıcılaroğlu</w:t>
      </w:r>
      <w:r w:rsidR="007A1775" w:rsidRPr="007F78BA">
        <w:rPr>
          <w:rFonts w:ascii="Times New Roman" w:hAnsi="Times New Roman" w:cs="Times New Roman"/>
          <w:sz w:val="20"/>
          <w:szCs w:val="20"/>
          <w:vertAlign w:val="superscript"/>
          <w:lang w:val="en-GB"/>
        </w:rPr>
        <w:t>5</w:t>
      </w:r>
      <w:r w:rsidR="001A3504">
        <w:rPr>
          <w:rFonts w:ascii="Times New Roman" w:hAnsi="Times New Roman" w:cs="Times New Roman"/>
          <w:sz w:val="20"/>
          <w:szCs w:val="20"/>
          <w:lang w:val="en-GB"/>
        </w:rPr>
        <w:t xml:space="preserve"> (</w:t>
      </w:r>
      <w:r w:rsidR="001A3504" w:rsidRPr="001A3504">
        <w:rPr>
          <w:rFonts w:ascii="Times New Roman" w:hAnsi="Times New Roman" w:cs="Times New Roman"/>
          <w:sz w:val="20"/>
          <w:szCs w:val="20"/>
          <w:lang w:val="en-GB"/>
        </w:rPr>
        <w:t>ORCID: 0000-0001-8843-2278</w:t>
      </w:r>
      <w:r w:rsidR="001A3504">
        <w:rPr>
          <w:rFonts w:ascii="Times New Roman" w:hAnsi="Times New Roman" w:cs="Times New Roman"/>
          <w:sz w:val="20"/>
          <w:szCs w:val="20"/>
          <w:lang w:val="en-GB"/>
        </w:rPr>
        <w:t>)</w:t>
      </w:r>
    </w:p>
    <w:p w14:paraId="114CBB54" w14:textId="53ABB94F" w:rsidR="004F7A81" w:rsidRPr="007F78BA" w:rsidRDefault="004F7A81" w:rsidP="007A1775">
      <w:pPr>
        <w:spacing w:line="276" w:lineRule="auto"/>
        <w:rPr>
          <w:rFonts w:ascii="Times New Roman" w:hAnsi="Times New Roman" w:cs="Times New Roman"/>
          <w:sz w:val="20"/>
          <w:szCs w:val="20"/>
          <w:lang w:val="en-GB"/>
        </w:rPr>
      </w:pPr>
      <w:r w:rsidRPr="007F78BA">
        <w:rPr>
          <w:rFonts w:ascii="Times New Roman" w:hAnsi="Times New Roman" w:cs="Times New Roman"/>
          <w:sz w:val="20"/>
          <w:szCs w:val="20"/>
          <w:lang w:val="en-GB"/>
        </w:rPr>
        <w:t>Axel J. Schmidt</w:t>
      </w:r>
      <w:r w:rsidR="007A1775" w:rsidRPr="007F78BA">
        <w:rPr>
          <w:rFonts w:ascii="Times New Roman" w:hAnsi="Times New Roman" w:cs="Times New Roman"/>
          <w:sz w:val="20"/>
          <w:szCs w:val="20"/>
          <w:vertAlign w:val="superscript"/>
          <w:lang w:val="en-GB"/>
        </w:rPr>
        <w:t>6</w:t>
      </w:r>
      <w:r w:rsidR="002B5104" w:rsidRPr="007F78BA">
        <w:rPr>
          <w:rFonts w:ascii="Times New Roman" w:hAnsi="Times New Roman" w:cs="Times New Roman"/>
          <w:sz w:val="20"/>
          <w:szCs w:val="20"/>
          <w:vertAlign w:val="superscript"/>
          <w:lang w:val="en-GB"/>
        </w:rPr>
        <w:t xml:space="preserve"> </w:t>
      </w:r>
      <w:r w:rsidRPr="007F78BA">
        <w:rPr>
          <w:rFonts w:ascii="Times New Roman" w:hAnsi="Times New Roman" w:cs="Times New Roman"/>
          <w:sz w:val="20"/>
          <w:szCs w:val="20"/>
          <w:lang w:val="en-GB"/>
        </w:rPr>
        <w:t>(ORCID: 0000-0002-6910-4399)</w:t>
      </w:r>
    </w:p>
    <w:p w14:paraId="47BB30C0" w14:textId="77777777" w:rsidR="004F7A81" w:rsidRPr="007F78BA" w:rsidRDefault="004F7A81" w:rsidP="007A1775">
      <w:pPr>
        <w:suppressAutoHyphens/>
        <w:spacing w:line="276" w:lineRule="auto"/>
        <w:rPr>
          <w:rFonts w:ascii="Times New Roman" w:hAnsi="Times New Roman" w:cs="Times New Roman"/>
          <w:sz w:val="20"/>
          <w:szCs w:val="20"/>
          <w:lang w:val="en-GB"/>
        </w:rPr>
      </w:pPr>
    </w:p>
    <w:p w14:paraId="734A082B" w14:textId="77777777" w:rsidR="004F7A81" w:rsidRPr="007F78BA" w:rsidRDefault="004F7A81" w:rsidP="007A1775">
      <w:pPr>
        <w:suppressAutoHyphens/>
        <w:spacing w:line="276" w:lineRule="auto"/>
        <w:rPr>
          <w:rFonts w:ascii="Times New Roman" w:hAnsi="Times New Roman" w:cs="Times New Roman"/>
          <w:b/>
          <w:sz w:val="20"/>
          <w:szCs w:val="20"/>
          <w:lang w:val="en-GB"/>
        </w:rPr>
      </w:pPr>
      <w:r w:rsidRPr="007F78BA">
        <w:rPr>
          <w:rFonts w:ascii="Times New Roman" w:hAnsi="Times New Roman" w:cs="Times New Roman"/>
          <w:b/>
          <w:sz w:val="20"/>
          <w:szCs w:val="20"/>
          <w:lang w:val="en-GB"/>
        </w:rPr>
        <w:t xml:space="preserve">Affiliations </w:t>
      </w:r>
    </w:p>
    <w:p w14:paraId="7A285254" w14:textId="77777777" w:rsidR="004F7A81" w:rsidRPr="007F78BA" w:rsidRDefault="004F7A81" w:rsidP="007A1775">
      <w:pPr>
        <w:spacing w:line="276" w:lineRule="auto"/>
        <w:rPr>
          <w:rFonts w:ascii="Times New Roman" w:hAnsi="Times New Roman" w:cs="Times New Roman"/>
          <w:sz w:val="20"/>
          <w:szCs w:val="20"/>
          <w:lang w:val="en-GB"/>
        </w:rPr>
      </w:pPr>
      <w:r w:rsidRPr="007F78BA">
        <w:rPr>
          <w:rFonts w:ascii="Times New Roman" w:hAnsi="Times New Roman" w:cs="Times New Roman"/>
          <w:sz w:val="20"/>
          <w:szCs w:val="20"/>
          <w:vertAlign w:val="superscript"/>
          <w:lang w:val="en-GB"/>
        </w:rPr>
        <w:t>1</w:t>
      </w:r>
      <w:r w:rsidRPr="007F78BA">
        <w:rPr>
          <w:rFonts w:ascii="Times New Roman" w:hAnsi="Times New Roman" w:cs="Times New Roman"/>
          <w:sz w:val="20"/>
          <w:szCs w:val="20"/>
          <w:lang w:val="en-GB"/>
        </w:rPr>
        <w:t xml:space="preserve">Universitat </w:t>
      </w:r>
      <w:proofErr w:type="spellStart"/>
      <w:r w:rsidRPr="007F78BA">
        <w:rPr>
          <w:rFonts w:ascii="Times New Roman" w:hAnsi="Times New Roman" w:cs="Times New Roman"/>
          <w:sz w:val="20"/>
          <w:szCs w:val="20"/>
          <w:lang w:val="en-GB"/>
        </w:rPr>
        <w:t>Pompeu</w:t>
      </w:r>
      <w:proofErr w:type="spellEnd"/>
      <w:r w:rsidRPr="007F78BA">
        <w:rPr>
          <w:rFonts w:ascii="Times New Roman" w:hAnsi="Times New Roman" w:cs="Times New Roman"/>
          <w:sz w:val="20"/>
          <w:szCs w:val="20"/>
          <w:lang w:val="en-GB"/>
        </w:rPr>
        <w:t xml:space="preserve"> </w:t>
      </w:r>
      <w:proofErr w:type="spellStart"/>
      <w:r w:rsidRPr="007F78BA">
        <w:rPr>
          <w:rFonts w:ascii="Times New Roman" w:hAnsi="Times New Roman" w:cs="Times New Roman"/>
          <w:sz w:val="20"/>
          <w:szCs w:val="20"/>
          <w:lang w:val="en-GB"/>
        </w:rPr>
        <w:t>Fabra</w:t>
      </w:r>
      <w:proofErr w:type="spellEnd"/>
      <w:r w:rsidRPr="007F78BA">
        <w:rPr>
          <w:rFonts w:ascii="Times New Roman" w:hAnsi="Times New Roman" w:cs="Times New Roman"/>
          <w:sz w:val="20"/>
          <w:szCs w:val="20"/>
          <w:lang w:val="en-GB"/>
        </w:rPr>
        <w:t xml:space="preserve">, Barcelona, Spain; contact: </w:t>
      </w:r>
      <w:hyperlink r:id="rId7" w:history="1">
        <w:r w:rsidRPr="007F78BA">
          <w:rPr>
            <w:rStyle w:val="Hyperkobling"/>
            <w:rFonts w:ascii="Times New Roman" w:hAnsi="Times New Roman" w:cs="Times New Roman"/>
            <w:lang w:val="en-GB"/>
          </w:rPr>
          <w:t>ibrahim.sonmez@upf.edu</w:t>
        </w:r>
      </w:hyperlink>
      <w:r w:rsidRPr="007F78BA">
        <w:rPr>
          <w:rFonts w:ascii="Times New Roman" w:hAnsi="Times New Roman" w:cs="Times New Roman"/>
          <w:sz w:val="20"/>
          <w:szCs w:val="20"/>
          <w:lang w:val="en-GB"/>
        </w:rPr>
        <w:t xml:space="preserve">, +34655304784 </w:t>
      </w:r>
    </w:p>
    <w:p w14:paraId="77EB5254" w14:textId="57A28FC2" w:rsidR="004F7A81" w:rsidRPr="007F78BA" w:rsidRDefault="004F7A81" w:rsidP="007A1775">
      <w:pPr>
        <w:spacing w:line="276" w:lineRule="auto"/>
        <w:rPr>
          <w:rFonts w:ascii="Times New Roman" w:hAnsi="Times New Roman" w:cs="Times New Roman"/>
          <w:sz w:val="20"/>
          <w:szCs w:val="20"/>
          <w:lang w:val="en-GB"/>
        </w:rPr>
      </w:pPr>
      <w:r w:rsidRPr="007F78BA">
        <w:rPr>
          <w:rFonts w:ascii="Times New Roman" w:hAnsi="Times New Roman" w:cs="Times New Roman"/>
          <w:sz w:val="20"/>
          <w:szCs w:val="20"/>
          <w:vertAlign w:val="superscript"/>
          <w:lang w:val="en-GB"/>
        </w:rPr>
        <w:t>2</w:t>
      </w:r>
      <w:r w:rsidRPr="007F78BA">
        <w:rPr>
          <w:rFonts w:ascii="Times New Roman" w:hAnsi="Times New Roman" w:cs="Times New Roman"/>
          <w:sz w:val="20"/>
          <w:szCs w:val="20"/>
          <w:lang w:val="en-GB"/>
        </w:rPr>
        <w:t xml:space="preserve"> </w:t>
      </w:r>
      <w:r w:rsidR="007A1775" w:rsidRPr="007F78BA">
        <w:rPr>
          <w:rFonts w:ascii="Times New Roman" w:hAnsi="Times New Roman" w:cs="Times New Roman"/>
          <w:sz w:val="20"/>
          <w:szCs w:val="20"/>
          <w:lang w:val="en-GB"/>
        </w:rPr>
        <w:t>FHI, Oslo, Norway</w:t>
      </w:r>
    </w:p>
    <w:p w14:paraId="19C25D6C" w14:textId="16BE0E58" w:rsidR="004F7A81" w:rsidRPr="007F78BA" w:rsidRDefault="004F7A81" w:rsidP="007A1775">
      <w:pPr>
        <w:spacing w:line="276" w:lineRule="auto"/>
        <w:rPr>
          <w:rFonts w:ascii="Times New Roman" w:hAnsi="Times New Roman" w:cs="Times New Roman"/>
          <w:sz w:val="20"/>
          <w:szCs w:val="20"/>
          <w:lang w:val="en-GB"/>
        </w:rPr>
      </w:pPr>
      <w:r w:rsidRPr="007F78BA">
        <w:rPr>
          <w:rFonts w:ascii="Times New Roman" w:hAnsi="Times New Roman" w:cs="Times New Roman"/>
          <w:sz w:val="20"/>
          <w:szCs w:val="20"/>
          <w:vertAlign w:val="superscript"/>
          <w:lang w:val="en-GB"/>
        </w:rPr>
        <w:t xml:space="preserve">3 </w:t>
      </w:r>
      <w:r w:rsidR="007A1775" w:rsidRPr="007F78BA">
        <w:rPr>
          <w:rFonts w:ascii="Times New Roman" w:hAnsi="Times New Roman" w:cs="Times New Roman"/>
          <w:sz w:val="20"/>
          <w:szCs w:val="20"/>
          <w:lang w:val="en-GB"/>
        </w:rPr>
        <w:t>University of Tromsø, Tromsø, Norway</w:t>
      </w:r>
    </w:p>
    <w:p w14:paraId="5E0B0206" w14:textId="028A7972" w:rsidR="004F7A81" w:rsidRPr="007F78BA" w:rsidRDefault="004F7A81" w:rsidP="007A1775">
      <w:pPr>
        <w:spacing w:line="276" w:lineRule="auto"/>
        <w:rPr>
          <w:rFonts w:ascii="Times New Roman" w:hAnsi="Times New Roman" w:cs="Times New Roman"/>
          <w:sz w:val="20"/>
          <w:szCs w:val="20"/>
          <w:lang w:val="en-GB"/>
        </w:rPr>
      </w:pPr>
      <w:r w:rsidRPr="007F78BA">
        <w:rPr>
          <w:rFonts w:ascii="Times New Roman" w:hAnsi="Times New Roman" w:cs="Times New Roman"/>
          <w:sz w:val="20"/>
          <w:szCs w:val="20"/>
          <w:vertAlign w:val="superscript"/>
          <w:lang w:val="en-GB"/>
        </w:rPr>
        <w:t>4</w:t>
      </w:r>
      <w:r w:rsidRPr="007F78BA">
        <w:rPr>
          <w:rFonts w:ascii="Times New Roman" w:hAnsi="Times New Roman" w:cs="Times New Roman"/>
          <w:sz w:val="20"/>
          <w:szCs w:val="20"/>
          <w:lang w:val="en-GB"/>
        </w:rPr>
        <w:t xml:space="preserve"> </w:t>
      </w:r>
      <w:r w:rsidR="007A1775" w:rsidRPr="007F78BA">
        <w:rPr>
          <w:rFonts w:ascii="Times New Roman" w:hAnsi="Times New Roman" w:cs="Times New Roman"/>
          <w:sz w:val="20"/>
          <w:szCs w:val="20"/>
          <w:lang w:val="en-GB"/>
        </w:rPr>
        <w:t>Jean Golding Institute, University of Bristol, Bristol, United Kingdom</w:t>
      </w:r>
      <w:r w:rsidR="007A1775" w:rsidRPr="007F78BA">
        <w:rPr>
          <w:rFonts w:ascii="Times New Roman" w:hAnsi="Times New Roman" w:cs="Times New Roman"/>
          <w:sz w:val="20"/>
          <w:szCs w:val="20"/>
          <w:vertAlign w:val="superscript"/>
          <w:lang w:val="en-GB"/>
        </w:rPr>
        <w:t xml:space="preserve"> </w:t>
      </w:r>
    </w:p>
    <w:p w14:paraId="67598029" w14:textId="691D4F56" w:rsidR="004F7A81" w:rsidRPr="007F78BA" w:rsidRDefault="007A1775" w:rsidP="007A1775">
      <w:pPr>
        <w:spacing w:line="276" w:lineRule="auto"/>
        <w:rPr>
          <w:rFonts w:ascii="Times New Roman" w:hAnsi="Times New Roman" w:cs="Times New Roman"/>
          <w:sz w:val="20"/>
          <w:szCs w:val="20"/>
          <w:vertAlign w:val="superscript"/>
          <w:lang w:val="en-GB"/>
        </w:rPr>
      </w:pPr>
      <w:r w:rsidRPr="007F78BA">
        <w:rPr>
          <w:rFonts w:ascii="Times New Roman" w:hAnsi="Times New Roman" w:cs="Times New Roman"/>
          <w:sz w:val="20"/>
          <w:szCs w:val="20"/>
          <w:vertAlign w:val="superscript"/>
          <w:lang w:val="en-GB"/>
        </w:rPr>
        <w:t xml:space="preserve">5 </w:t>
      </w:r>
      <w:proofErr w:type="spellStart"/>
      <w:r w:rsidRPr="007F78BA">
        <w:rPr>
          <w:rFonts w:ascii="Times New Roman" w:hAnsi="Times New Roman" w:cs="Times New Roman"/>
          <w:sz w:val="20"/>
          <w:szCs w:val="20"/>
          <w:lang w:val="en-GB"/>
        </w:rPr>
        <w:t>Pozitif</w:t>
      </w:r>
      <w:proofErr w:type="spellEnd"/>
      <w:r w:rsidRPr="007F78BA">
        <w:rPr>
          <w:rFonts w:ascii="Times New Roman" w:hAnsi="Times New Roman" w:cs="Times New Roman"/>
          <w:sz w:val="20"/>
          <w:szCs w:val="20"/>
          <w:lang w:val="en-GB"/>
        </w:rPr>
        <w:t xml:space="preserve"> </w:t>
      </w:r>
      <w:proofErr w:type="spellStart"/>
      <w:r w:rsidRPr="007F78BA">
        <w:rPr>
          <w:rFonts w:ascii="Times New Roman" w:hAnsi="Times New Roman" w:cs="Times New Roman"/>
          <w:sz w:val="20"/>
          <w:szCs w:val="20"/>
          <w:lang w:val="en-GB"/>
        </w:rPr>
        <w:t>Yaşam</w:t>
      </w:r>
      <w:proofErr w:type="spellEnd"/>
      <w:r w:rsidRPr="007F78BA">
        <w:rPr>
          <w:rFonts w:ascii="Times New Roman" w:hAnsi="Times New Roman" w:cs="Times New Roman"/>
          <w:sz w:val="20"/>
          <w:szCs w:val="20"/>
          <w:lang w:val="en-GB"/>
        </w:rPr>
        <w:t xml:space="preserve"> </w:t>
      </w:r>
      <w:proofErr w:type="spellStart"/>
      <w:r w:rsidRPr="007F78BA">
        <w:rPr>
          <w:rFonts w:ascii="Times New Roman" w:hAnsi="Times New Roman" w:cs="Times New Roman"/>
          <w:sz w:val="20"/>
          <w:szCs w:val="20"/>
          <w:lang w:val="en-GB"/>
        </w:rPr>
        <w:t>Derneği</w:t>
      </w:r>
      <w:proofErr w:type="spellEnd"/>
      <w:r w:rsidRPr="007F78BA">
        <w:rPr>
          <w:rFonts w:ascii="Times New Roman" w:hAnsi="Times New Roman" w:cs="Times New Roman"/>
          <w:sz w:val="20"/>
          <w:szCs w:val="20"/>
          <w:lang w:val="en-GB"/>
        </w:rPr>
        <w:t>, İzmir, Turkey</w:t>
      </w:r>
      <w:r w:rsidR="004F7A81" w:rsidRPr="007F78BA">
        <w:rPr>
          <w:rFonts w:ascii="Times New Roman" w:hAnsi="Times New Roman" w:cs="Times New Roman"/>
          <w:sz w:val="20"/>
          <w:szCs w:val="20"/>
          <w:lang w:val="en-GB"/>
        </w:rPr>
        <w:t xml:space="preserve"> </w:t>
      </w:r>
    </w:p>
    <w:p w14:paraId="23B66A55" w14:textId="2CCDF7C3" w:rsidR="0093332A" w:rsidRPr="007F78BA" w:rsidRDefault="007A1775" w:rsidP="007A1775">
      <w:pPr>
        <w:spacing w:line="276" w:lineRule="auto"/>
        <w:rPr>
          <w:rFonts w:ascii="Times New Roman" w:hAnsi="Times New Roman" w:cs="Times New Roman"/>
          <w:sz w:val="20"/>
          <w:szCs w:val="20"/>
          <w:lang w:val="en-GB"/>
        </w:rPr>
      </w:pPr>
      <w:r w:rsidRPr="007F78BA">
        <w:rPr>
          <w:rFonts w:ascii="Times New Roman" w:hAnsi="Times New Roman" w:cs="Times New Roman"/>
          <w:sz w:val="20"/>
          <w:szCs w:val="20"/>
          <w:vertAlign w:val="superscript"/>
          <w:lang w:val="en-GB"/>
        </w:rPr>
        <w:t>6</w:t>
      </w:r>
      <w:r w:rsidR="004F7A81" w:rsidRPr="007F78BA">
        <w:rPr>
          <w:rFonts w:ascii="Times New Roman" w:hAnsi="Times New Roman" w:cs="Times New Roman"/>
          <w:sz w:val="20"/>
          <w:szCs w:val="20"/>
          <w:lang w:val="en-GB"/>
        </w:rPr>
        <w:t xml:space="preserve"> </w:t>
      </w:r>
      <w:r w:rsidRPr="007F78BA">
        <w:rPr>
          <w:rFonts w:ascii="Times New Roman" w:hAnsi="Times New Roman" w:cs="Times New Roman"/>
          <w:sz w:val="20"/>
          <w:szCs w:val="20"/>
          <w:lang w:val="en-GB"/>
        </w:rPr>
        <w:t>Sigma Research, London School of Hygiene and Tropical Medicine, London, United Kingdom</w:t>
      </w:r>
    </w:p>
    <w:p w14:paraId="65C2649C" w14:textId="2861EAD1" w:rsidR="00B5543E" w:rsidRPr="007F78BA" w:rsidRDefault="0093332A" w:rsidP="00372967">
      <w:pPr>
        <w:pStyle w:val="Overskrift1"/>
        <w:rPr>
          <w:rFonts w:eastAsia="Times New Roman"/>
          <w:lang w:val="en-GB"/>
        </w:rPr>
      </w:pPr>
      <w:r w:rsidRPr="007F78BA">
        <w:rPr>
          <w:rFonts w:eastAsia="Times New Roman"/>
          <w:lang w:val="en-GB"/>
        </w:rPr>
        <w:t>Abstract</w:t>
      </w:r>
    </w:p>
    <w:p w14:paraId="14C38352" w14:textId="203F80A5" w:rsidR="00B5543E" w:rsidRPr="007F78BA" w:rsidRDefault="00B5543E" w:rsidP="00D85053">
      <w:pPr>
        <w:spacing w:line="276" w:lineRule="auto"/>
        <w:ind w:firstLine="720"/>
        <w:jc w:val="both"/>
        <w:rPr>
          <w:rFonts w:ascii="Times New Roman" w:eastAsia="Times New Roman" w:hAnsi="Times New Roman" w:cs="Times New Roman"/>
          <w:lang w:val="en-GB"/>
        </w:rPr>
      </w:pPr>
      <w:r w:rsidRPr="007F78BA">
        <w:rPr>
          <w:rFonts w:ascii="Times New Roman" w:eastAsia="Times New Roman" w:hAnsi="Times New Roman" w:cs="Times New Roman"/>
          <w:lang w:val="en-GB"/>
        </w:rPr>
        <w:t>In a sample of men who have sex with men (MSM) in Spain (N=3,336) and Turkey (N=550) who</w:t>
      </w:r>
      <w:r w:rsidR="00741828">
        <w:rPr>
          <w:rFonts w:ascii="Times New Roman" w:eastAsia="Times New Roman" w:hAnsi="Times New Roman" w:cs="Times New Roman"/>
          <w:lang w:val="en-GB"/>
        </w:rPr>
        <w:t xml:space="preserve"> are</w:t>
      </w:r>
      <w:r w:rsidR="00472F19" w:rsidRPr="007F78BA">
        <w:rPr>
          <w:rFonts w:ascii="Times New Roman" w:eastAsia="Times New Roman" w:hAnsi="Times New Roman" w:cs="Times New Roman"/>
          <w:lang w:val="en-GB"/>
        </w:rPr>
        <w:t xml:space="preserve"> at risk of </w:t>
      </w:r>
      <w:r w:rsidRPr="007F78BA">
        <w:rPr>
          <w:rFonts w:ascii="Times New Roman" w:eastAsia="Times New Roman" w:hAnsi="Times New Roman" w:cs="Times New Roman"/>
          <w:lang w:val="en-GB"/>
        </w:rPr>
        <w:t xml:space="preserve">HIV, </w:t>
      </w:r>
      <w:r w:rsidR="00D853DD" w:rsidRPr="007F78BA">
        <w:rPr>
          <w:rFonts w:ascii="Times New Roman" w:eastAsia="Times New Roman" w:hAnsi="Times New Roman" w:cs="Times New Roman"/>
          <w:lang w:val="en-GB"/>
        </w:rPr>
        <w:t xml:space="preserve">we examined how internalised homonegativity (IH) is associated with the number of non-steady male </w:t>
      </w:r>
      <w:r w:rsidR="002142D7" w:rsidRPr="007F78BA">
        <w:rPr>
          <w:rFonts w:ascii="Times New Roman" w:eastAsia="Times New Roman" w:hAnsi="Times New Roman" w:cs="Times New Roman"/>
          <w:lang w:val="en-GB"/>
        </w:rPr>
        <w:t xml:space="preserve">condomless intercourse </w:t>
      </w:r>
      <w:r w:rsidR="00D853DD" w:rsidRPr="007F78BA">
        <w:rPr>
          <w:rFonts w:ascii="Times New Roman" w:eastAsia="Times New Roman" w:hAnsi="Times New Roman" w:cs="Times New Roman"/>
          <w:lang w:val="en-GB"/>
        </w:rPr>
        <w:t>partners (as a proxy of sexual risk behaviour). We employed multigroup structural equation modelling (MG-SEM) and estimated the relationship between IH and sexual risk behaviour and possible mediating effects of HIV/</w:t>
      </w:r>
      <w:proofErr w:type="spellStart"/>
      <w:r w:rsidR="00D853DD" w:rsidRPr="007F78BA">
        <w:rPr>
          <w:rFonts w:ascii="Times New Roman" w:eastAsia="Times New Roman" w:hAnsi="Times New Roman" w:cs="Times New Roman"/>
          <w:lang w:val="en-GB"/>
        </w:rPr>
        <w:t>PrEP</w:t>
      </w:r>
      <w:proofErr w:type="spellEnd"/>
      <w:r w:rsidR="00D853DD" w:rsidRPr="007F78BA">
        <w:rPr>
          <w:rFonts w:ascii="Times New Roman" w:eastAsia="Times New Roman" w:hAnsi="Times New Roman" w:cs="Times New Roman"/>
          <w:lang w:val="en-GB"/>
        </w:rPr>
        <w:t xml:space="preserve"> knowledge, substance use, and </w:t>
      </w:r>
      <w:r w:rsidR="00B617AA">
        <w:rPr>
          <w:rFonts w:ascii="Times New Roman" w:eastAsia="Times New Roman" w:hAnsi="Times New Roman" w:cs="Times New Roman"/>
          <w:lang w:val="en-GB"/>
        </w:rPr>
        <w:t>sex under the influence of substances</w:t>
      </w:r>
      <w:r w:rsidR="00D853DD" w:rsidRPr="007F78BA">
        <w:rPr>
          <w:rFonts w:ascii="Times New Roman" w:eastAsia="Times New Roman" w:hAnsi="Times New Roman" w:cs="Times New Roman"/>
          <w:lang w:val="en-GB"/>
        </w:rPr>
        <w:t xml:space="preserve"> on this relationship. Measurement</w:t>
      </w:r>
      <w:r w:rsidR="00CD3ACD" w:rsidRPr="007F78BA">
        <w:rPr>
          <w:rFonts w:ascii="Times New Roman" w:eastAsia="Times New Roman" w:hAnsi="Times New Roman" w:cs="Times New Roman"/>
          <w:lang w:val="en-GB"/>
        </w:rPr>
        <w:t xml:space="preserve"> and structural</w:t>
      </w:r>
      <w:r w:rsidR="00D853DD" w:rsidRPr="007F78BA">
        <w:rPr>
          <w:rFonts w:ascii="Times New Roman" w:eastAsia="Times New Roman" w:hAnsi="Times New Roman" w:cs="Times New Roman"/>
          <w:lang w:val="en-GB"/>
        </w:rPr>
        <w:t xml:space="preserve"> invariance </w:t>
      </w:r>
      <w:r w:rsidR="00CD3ACD" w:rsidRPr="007F78BA">
        <w:rPr>
          <w:rFonts w:ascii="Times New Roman" w:eastAsia="Times New Roman" w:hAnsi="Times New Roman" w:cs="Times New Roman"/>
          <w:lang w:val="en-GB"/>
        </w:rPr>
        <w:t xml:space="preserve">across </w:t>
      </w:r>
      <w:r w:rsidR="00372967" w:rsidRPr="007F78BA">
        <w:rPr>
          <w:rFonts w:ascii="Times New Roman" w:eastAsia="Times New Roman" w:hAnsi="Times New Roman" w:cs="Times New Roman"/>
          <w:lang w:val="en-GB"/>
        </w:rPr>
        <w:t>countries</w:t>
      </w:r>
      <w:r w:rsidR="00CD3ACD" w:rsidRPr="007F78BA">
        <w:rPr>
          <w:rFonts w:ascii="Times New Roman" w:eastAsia="Times New Roman" w:hAnsi="Times New Roman" w:cs="Times New Roman"/>
          <w:lang w:val="en-GB"/>
        </w:rPr>
        <w:t xml:space="preserve"> </w:t>
      </w:r>
      <w:r w:rsidR="00F569D8" w:rsidRPr="007F78BA">
        <w:rPr>
          <w:rFonts w:ascii="Times New Roman" w:eastAsia="Times New Roman" w:hAnsi="Times New Roman" w:cs="Times New Roman"/>
          <w:lang w:val="en-GB"/>
        </w:rPr>
        <w:t xml:space="preserve">were </w:t>
      </w:r>
      <w:r w:rsidR="00CD3ACD" w:rsidRPr="007F78BA">
        <w:rPr>
          <w:rFonts w:ascii="Times New Roman" w:eastAsia="Times New Roman" w:hAnsi="Times New Roman" w:cs="Times New Roman"/>
          <w:lang w:val="en-GB"/>
        </w:rPr>
        <w:t xml:space="preserve">established. </w:t>
      </w:r>
      <w:r w:rsidR="00BA7727" w:rsidRPr="007F78BA">
        <w:rPr>
          <w:rFonts w:ascii="Times New Roman" w:eastAsia="Times New Roman" w:hAnsi="Times New Roman" w:cs="Times New Roman"/>
          <w:lang w:val="en-GB"/>
        </w:rPr>
        <w:t>W</w:t>
      </w:r>
      <w:r w:rsidR="0038694A" w:rsidRPr="007F78BA">
        <w:rPr>
          <w:rFonts w:ascii="Times New Roman" w:eastAsia="Times New Roman" w:hAnsi="Times New Roman" w:cs="Times New Roman"/>
          <w:lang w:val="en-GB"/>
        </w:rPr>
        <w:t xml:space="preserve">e </w:t>
      </w:r>
      <w:r w:rsidR="00BA7727" w:rsidRPr="007F78BA">
        <w:rPr>
          <w:rFonts w:ascii="Times New Roman" w:eastAsia="Times New Roman" w:hAnsi="Times New Roman" w:cs="Times New Roman"/>
          <w:lang w:val="en-GB"/>
        </w:rPr>
        <w:t>found no</w:t>
      </w:r>
      <w:r w:rsidR="0038694A" w:rsidRPr="007F78BA">
        <w:rPr>
          <w:rFonts w:ascii="Times New Roman" w:eastAsia="Times New Roman" w:hAnsi="Times New Roman" w:cs="Times New Roman"/>
          <w:lang w:val="en-GB"/>
        </w:rPr>
        <w:t xml:space="preserve"> direct effect of IH on sexual risk behaviour</w:t>
      </w:r>
      <w:r w:rsidR="00BA7727" w:rsidRPr="007F78BA">
        <w:rPr>
          <w:rFonts w:ascii="Times New Roman" w:eastAsia="Times New Roman" w:hAnsi="Times New Roman" w:cs="Times New Roman"/>
          <w:lang w:val="en-GB"/>
        </w:rPr>
        <w:t>, neither for MSM in Spain nor Turkey</w:t>
      </w:r>
      <w:r w:rsidR="0038694A" w:rsidRPr="007F78BA">
        <w:rPr>
          <w:rFonts w:ascii="Times New Roman" w:eastAsia="Times New Roman" w:hAnsi="Times New Roman" w:cs="Times New Roman"/>
          <w:lang w:val="en-GB"/>
        </w:rPr>
        <w:t xml:space="preserve">. </w:t>
      </w:r>
      <w:r w:rsidR="009B7F0A" w:rsidRPr="007F78BA">
        <w:rPr>
          <w:rFonts w:ascii="Times New Roman" w:eastAsia="Times New Roman" w:hAnsi="Times New Roman" w:cs="Times New Roman"/>
          <w:lang w:val="en-GB"/>
        </w:rPr>
        <w:t>HIV/</w:t>
      </w:r>
      <w:proofErr w:type="spellStart"/>
      <w:r w:rsidR="009B7F0A" w:rsidRPr="007F78BA">
        <w:rPr>
          <w:rFonts w:ascii="Times New Roman" w:eastAsia="Times New Roman" w:hAnsi="Times New Roman" w:cs="Times New Roman"/>
          <w:lang w:val="en-GB"/>
        </w:rPr>
        <w:t>PrEP</w:t>
      </w:r>
      <w:proofErr w:type="spellEnd"/>
      <w:r w:rsidR="009B7F0A" w:rsidRPr="007F78BA">
        <w:rPr>
          <w:rFonts w:ascii="Times New Roman" w:eastAsia="Times New Roman" w:hAnsi="Times New Roman" w:cs="Times New Roman"/>
          <w:lang w:val="en-GB"/>
        </w:rPr>
        <w:t xml:space="preserve"> knowledge mediated the relationship between IH and sexual risk behaviour among MSM in Spain</w:t>
      </w:r>
      <w:r w:rsidR="009B7F0A">
        <w:rPr>
          <w:rFonts w:ascii="Times New Roman" w:eastAsia="Times New Roman" w:hAnsi="Times New Roman" w:cs="Times New Roman"/>
          <w:lang w:val="en-GB"/>
        </w:rPr>
        <w:t>,</w:t>
      </w:r>
      <w:r w:rsidR="009B7F0A" w:rsidRPr="007F78BA">
        <w:rPr>
          <w:rFonts w:ascii="Times New Roman" w:eastAsia="Times New Roman" w:hAnsi="Times New Roman" w:cs="Times New Roman"/>
          <w:lang w:val="en-GB"/>
        </w:rPr>
        <w:t xml:space="preserve"> but not among men in Turkey. </w:t>
      </w:r>
      <w:r w:rsidR="009B7F0A">
        <w:rPr>
          <w:rFonts w:ascii="Times New Roman" w:eastAsia="Times New Roman" w:hAnsi="Times New Roman" w:cs="Times New Roman"/>
          <w:lang w:val="en-GB"/>
        </w:rPr>
        <w:t xml:space="preserve">Neither substance use nor sex under the influence of substances mediated the relationship. However, </w:t>
      </w:r>
      <w:r w:rsidR="009B7F0A" w:rsidRPr="007F78BA">
        <w:rPr>
          <w:rFonts w:ascii="Times New Roman" w:eastAsia="Times New Roman" w:hAnsi="Times New Roman" w:cs="Times New Roman"/>
          <w:lang w:val="en-GB"/>
        </w:rPr>
        <w:t>in both samples</w:t>
      </w:r>
      <w:r w:rsidR="009B7F0A">
        <w:rPr>
          <w:rFonts w:ascii="Times New Roman" w:eastAsia="Times New Roman" w:hAnsi="Times New Roman" w:cs="Times New Roman"/>
          <w:lang w:val="en-GB"/>
        </w:rPr>
        <w:t xml:space="preserve">, </w:t>
      </w:r>
      <w:r w:rsidR="00372967" w:rsidRPr="007F78BA">
        <w:rPr>
          <w:rFonts w:ascii="Times New Roman" w:eastAsia="Times New Roman" w:hAnsi="Times New Roman" w:cs="Times New Roman"/>
          <w:lang w:val="en-GB"/>
        </w:rPr>
        <w:t>IH was negatively associated with HIV/</w:t>
      </w:r>
      <w:proofErr w:type="spellStart"/>
      <w:r w:rsidR="00372967" w:rsidRPr="007F78BA">
        <w:rPr>
          <w:rFonts w:ascii="Times New Roman" w:eastAsia="Times New Roman" w:hAnsi="Times New Roman" w:cs="Times New Roman"/>
          <w:lang w:val="en-GB"/>
        </w:rPr>
        <w:t>PrEP</w:t>
      </w:r>
      <w:proofErr w:type="spellEnd"/>
      <w:r w:rsidR="00372967" w:rsidRPr="007F78BA">
        <w:rPr>
          <w:rFonts w:ascii="Times New Roman" w:eastAsia="Times New Roman" w:hAnsi="Times New Roman" w:cs="Times New Roman"/>
          <w:lang w:val="en-GB"/>
        </w:rPr>
        <w:t xml:space="preserve"> knowledge</w:t>
      </w:r>
      <w:r w:rsidR="00BA7727" w:rsidRPr="007F78BA">
        <w:rPr>
          <w:rFonts w:ascii="Times New Roman" w:eastAsia="Times New Roman" w:hAnsi="Times New Roman" w:cs="Times New Roman"/>
          <w:lang w:val="en-GB"/>
        </w:rPr>
        <w:t xml:space="preserve"> </w:t>
      </w:r>
      <w:r w:rsidR="009B7F0A">
        <w:rPr>
          <w:rFonts w:ascii="Times New Roman" w:eastAsia="Times New Roman" w:hAnsi="Times New Roman" w:cs="Times New Roman"/>
          <w:lang w:val="en-GB"/>
        </w:rPr>
        <w:t>and sex under the influence of substances</w:t>
      </w:r>
      <w:r w:rsidR="009B7F0A" w:rsidRPr="007F78BA">
        <w:rPr>
          <w:rFonts w:ascii="Times New Roman" w:eastAsia="Times New Roman" w:hAnsi="Times New Roman" w:cs="Times New Roman"/>
          <w:lang w:val="en-GB"/>
        </w:rPr>
        <w:t xml:space="preserve"> was </w:t>
      </w:r>
      <w:r w:rsidR="00567F3B">
        <w:rPr>
          <w:rFonts w:ascii="Times New Roman" w:eastAsia="Times New Roman" w:hAnsi="Times New Roman" w:cs="Times New Roman"/>
          <w:lang w:val="en-GB"/>
        </w:rPr>
        <w:t xml:space="preserve">positively </w:t>
      </w:r>
      <w:r w:rsidR="009B7F0A" w:rsidRPr="007F78BA">
        <w:rPr>
          <w:rFonts w:ascii="Times New Roman" w:eastAsia="Times New Roman" w:hAnsi="Times New Roman" w:cs="Times New Roman"/>
          <w:lang w:val="en-GB"/>
        </w:rPr>
        <w:t xml:space="preserve">associated with </w:t>
      </w:r>
      <w:r w:rsidR="009B7F0A">
        <w:rPr>
          <w:rFonts w:ascii="Times New Roman" w:eastAsia="Times New Roman" w:hAnsi="Times New Roman" w:cs="Times New Roman"/>
          <w:lang w:val="en-GB"/>
        </w:rPr>
        <w:t>sexual risk behaviour</w:t>
      </w:r>
      <w:r w:rsidR="00372967" w:rsidRPr="007F78BA">
        <w:rPr>
          <w:rFonts w:ascii="Times New Roman" w:eastAsia="Times New Roman" w:hAnsi="Times New Roman" w:cs="Times New Roman"/>
          <w:lang w:val="en-GB"/>
        </w:rPr>
        <w:t xml:space="preserve">. </w:t>
      </w:r>
      <w:r w:rsidR="009B7F0A">
        <w:rPr>
          <w:rFonts w:ascii="Times New Roman" w:eastAsia="Times New Roman" w:hAnsi="Times New Roman" w:cs="Times New Roman"/>
          <w:lang w:val="en-GB"/>
        </w:rPr>
        <w:t>Higher</w:t>
      </w:r>
      <w:r w:rsidR="009B7F0A" w:rsidRPr="007F78BA">
        <w:rPr>
          <w:rFonts w:ascii="Times New Roman" w:eastAsia="Times New Roman" w:hAnsi="Times New Roman" w:cs="Times New Roman"/>
          <w:lang w:val="en-GB"/>
        </w:rPr>
        <w:t xml:space="preserve"> </w:t>
      </w:r>
      <w:r w:rsidR="0038694A" w:rsidRPr="007F78BA">
        <w:rPr>
          <w:rFonts w:ascii="Times New Roman" w:eastAsia="Times New Roman" w:hAnsi="Times New Roman" w:cs="Times New Roman"/>
          <w:lang w:val="en-GB"/>
        </w:rPr>
        <w:t>HIV/</w:t>
      </w:r>
      <w:proofErr w:type="spellStart"/>
      <w:r w:rsidR="0038694A" w:rsidRPr="007F78BA">
        <w:rPr>
          <w:rFonts w:ascii="Times New Roman" w:eastAsia="Times New Roman" w:hAnsi="Times New Roman" w:cs="Times New Roman"/>
          <w:lang w:val="en-GB"/>
        </w:rPr>
        <w:t>PrEP</w:t>
      </w:r>
      <w:proofErr w:type="spellEnd"/>
      <w:r w:rsidR="0038694A" w:rsidRPr="007F78BA">
        <w:rPr>
          <w:rFonts w:ascii="Times New Roman" w:eastAsia="Times New Roman" w:hAnsi="Times New Roman" w:cs="Times New Roman"/>
          <w:lang w:val="en-GB"/>
        </w:rPr>
        <w:t xml:space="preserve"> knowledge was associated with </w:t>
      </w:r>
      <w:r w:rsidR="009B7F0A">
        <w:rPr>
          <w:rFonts w:ascii="Times New Roman" w:eastAsia="Times New Roman" w:hAnsi="Times New Roman" w:cs="Times New Roman"/>
          <w:lang w:val="en-GB"/>
        </w:rPr>
        <w:t>higher</w:t>
      </w:r>
      <w:r w:rsidR="009B7F0A" w:rsidRPr="007F78BA">
        <w:rPr>
          <w:rFonts w:ascii="Times New Roman" w:eastAsia="Times New Roman" w:hAnsi="Times New Roman" w:cs="Times New Roman"/>
          <w:lang w:val="en-GB"/>
        </w:rPr>
        <w:t xml:space="preserve"> </w:t>
      </w:r>
      <w:r w:rsidR="0038694A" w:rsidRPr="007F78BA">
        <w:rPr>
          <w:rFonts w:ascii="Times New Roman" w:eastAsia="Times New Roman" w:hAnsi="Times New Roman" w:cs="Times New Roman"/>
          <w:lang w:val="en-GB"/>
        </w:rPr>
        <w:t>sexual risk behaviour</w:t>
      </w:r>
      <w:r w:rsidR="00F569D8" w:rsidRPr="007F78BA">
        <w:rPr>
          <w:rFonts w:ascii="Times New Roman" w:eastAsia="Times New Roman" w:hAnsi="Times New Roman" w:cs="Times New Roman"/>
          <w:lang w:val="en-GB"/>
        </w:rPr>
        <w:t xml:space="preserve"> among MSM in Spain,</w:t>
      </w:r>
      <w:r w:rsidR="0038694A" w:rsidRPr="007F78BA">
        <w:rPr>
          <w:rFonts w:ascii="Times New Roman" w:eastAsia="Times New Roman" w:hAnsi="Times New Roman" w:cs="Times New Roman"/>
          <w:lang w:val="en-GB"/>
        </w:rPr>
        <w:t xml:space="preserve"> while </w:t>
      </w:r>
      <w:r w:rsidR="00F569D8" w:rsidRPr="007F78BA">
        <w:rPr>
          <w:rFonts w:ascii="Times New Roman" w:eastAsia="Times New Roman" w:hAnsi="Times New Roman" w:cs="Times New Roman"/>
          <w:lang w:val="en-GB"/>
        </w:rPr>
        <w:t xml:space="preserve">among MSM in </w:t>
      </w:r>
      <w:r w:rsidR="0038694A" w:rsidRPr="007F78BA">
        <w:rPr>
          <w:rFonts w:ascii="Times New Roman" w:eastAsia="Times New Roman" w:hAnsi="Times New Roman" w:cs="Times New Roman"/>
          <w:lang w:val="en-GB"/>
        </w:rPr>
        <w:t xml:space="preserve">Turkey </w:t>
      </w:r>
      <w:r w:rsidR="00C96C58" w:rsidRPr="007F78BA">
        <w:rPr>
          <w:rFonts w:ascii="Times New Roman" w:eastAsia="Times New Roman" w:hAnsi="Times New Roman" w:cs="Times New Roman"/>
          <w:lang w:val="en-GB"/>
        </w:rPr>
        <w:t xml:space="preserve">the </w:t>
      </w:r>
      <w:r w:rsidR="00F569D8" w:rsidRPr="007F78BA">
        <w:rPr>
          <w:rFonts w:ascii="Times New Roman" w:eastAsia="Times New Roman" w:hAnsi="Times New Roman" w:cs="Times New Roman"/>
          <w:lang w:val="en-GB"/>
        </w:rPr>
        <w:t xml:space="preserve">association </w:t>
      </w:r>
      <w:r w:rsidR="00C96C58" w:rsidRPr="007F78BA">
        <w:rPr>
          <w:rFonts w:ascii="Times New Roman" w:eastAsia="Times New Roman" w:hAnsi="Times New Roman" w:cs="Times New Roman"/>
          <w:lang w:val="en-GB"/>
        </w:rPr>
        <w:t>was in the opposite direction.</w:t>
      </w:r>
      <w:r w:rsidR="00372967" w:rsidRPr="007F78BA">
        <w:rPr>
          <w:rFonts w:ascii="Times New Roman" w:eastAsia="Times New Roman" w:hAnsi="Times New Roman" w:cs="Times New Roman"/>
          <w:lang w:val="en-GB"/>
        </w:rPr>
        <w:t xml:space="preserve"> Our results </w:t>
      </w:r>
      <w:r w:rsidR="00F569D8" w:rsidRPr="007F78BA">
        <w:rPr>
          <w:rFonts w:ascii="Times New Roman" w:eastAsia="Times New Roman" w:hAnsi="Times New Roman" w:cs="Times New Roman"/>
          <w:lang w:val="en-GB"/>
        </w:rPr>
        <w:t xml:space="preserve">underscore </w:t>
      </w:r>
      <w:r w:rsidR="00372967" w:rsidRPr="007F78BA">
        <w:rPr>
          <w:rFonts w:ascii="Times New Roman" w:eastAsia="Times New Roman" w:hAnsi="Times New Roman" w:cs="Times New Roman"/>
          <w:lang w:val="en-GB"/>
        </w:rPr>
        <w:t xml:space="preserve">the differences in country specific needs for </w:t>
      </w:r>
      <w:r w:rsidR="00567F3B">
        <w:rPr>
          <w:rFonts w:ascii="Times New Roman" w:eastAsia="Times New Roman" w:hAnsi="Times New Roman" w:cs="Times New Roman"/>
          <w:lang w:val="en-GB"/>
        </w:rPr>
        <w:t xml:space="preserve">HIV </w:t>
      </w:r>
      <w:r w:rsidR="00372967" w:rsidRPr="007F78BA">
        <w:rPr>
          <w:rFonts w:ascii="Times New Roman" w:eastAsia="Times New Roman" w:hAnsi="Times New Roman" w:cs="Times New Roman"/>
          <w:lang w:val="en-GB"/>
        </w:rPr>
        <w:t xml:space="preserve">prevention programs and that </w:t>
      </w:r>
      <w:r w:rsidR="00BF5E21">
        <w:rPr>
          <w:rFonts w:ascii="Times New Roman" w:eastAsia="Times New Roman" w:hAnsi="Times New Roman" w:cs="Times New Roman"/>
          <w:lang w:val="en-GB"/>
        </w:rPr>
        <w:t xml:space="preserve">the </w:t>
      </w:r>
      <w:r w:rsidR="00372967" w:rsidRPr="007F78BA">
        <w:rPr>
          <w:rFonts w:ascii="Times New Roman" w:eastAsia="Times New Roman" w:hAnsi="Times New Roman" w:cs="Times New Roman"/>
          <w:lang w:val="en-GB"/>
        </w:rPr>
        <w:t>different mechanisms through which IH operate</w:t>
      </w:r>
      <w:r w:rsidR="00BF5E21">
        <w:rPr>
          <w:rFonts w:ascii="Times New Roman" w:eastAsia="Times New Roman" w:hAnsi="Times New Roman" w:cs="Times New Roman"/>
          <w:lang w:val="en-GB"/>
        </w:rPr>
        <w:t>s</w:t>
      </w:r>
      <w:r w:rsidR="00372967" w:rsidRPr="007F78BA">
        <w:rPr>
          <w:rFonts w:ascii="Times New Roman" w:eastAsia="Times New Roman" w:hAnsi="Times New Roman" w:cs="Times New Roman"/>
          <w:lang w:val="en-GB"/>
        </w:rPr>
        <w:t xml:space="preserve"> in Spain and Turkey should be taken into consideration when tailoring these programs. </w:t>
      </w:r>
    </w:p>
    <w:p w14:paraId="60AA11F7" w14:textId="6D4124B7" w:rsidR="00B5543E" w:rsidRDefault="00B5543E" w:rsidP="00B5543E">
      <w:pPr>
        <w:rPr>
          <w:lang w:val="en-GB"/>
        </w:rPr>
      </w:pPr>
    </w:p>
    <w:p w14:paraId="772A71C5" w14:textId="325B84FC" w:rsidR="00CB3975" w:rsidRDefault="00CB3975" w:rsidP="00B5543E">
      <w:pPr>
        <w:rPr>
          <w:lang w:val="en-GB"/>
        </w:rPr>
      </w:pPr>
    </w:p>
    <w:p w14:paraId="7C09791B" w14:textId="1277FE8B" w:rsidR="00CB3975" w:rsidRDefault="00CB3975" w:rsidP="00B5543E">
      <w:pPr>
        <w:rPr>
          <w:lang w:val="en-GB"/>
        </w:rPr>
      </w:pPr>
    </w:p>
    <w:p w14:paraId="206CC62E" w14:textId="07FBA895" w:rsidR="00CB3975" w:rsidRDefault="00CB3975" w:rsidP="00B5543E">
      <w:pPr>
        <w:rPr>
          <w:lang w:val="en-GB"/>
        </w:rPr>
      </w:pPr>
    </w:p>
    <w:p w14:paraId="5C7F15BF" w14:textId="12723461" w:rsidR="00CB3975" w:rsidRDefault="00CB3975" w:rsidP="00B5543E">
      <w:pPr>
        <w:rPr>
          <w:lang w:val="en-GB"/>
        </w:rPr>
      </w:pPr>
    </w:p>
    <w:p w14:paraId="4250279C" w14:textId="180C5242" w:rsidR="00CB3975" w:rsidRDefault="00CB3975" w:rsidP="00B5543E">
      <w:pPr>
        <w:rPr>
          <w:lang w:val="en-GB"/>
        </w:rPr>
      </w:pPr>
    </w:p>
    <w:p w14:paraId="2BBC6580" w14:textId="758EA9D3" w:rsidR="00CB3975" w:rsidRDefault="00CB3975" w:rsidP="00B5543E">
      <w:pPr>
        <w:rPr>
          <w:lang w:val="en-GB"/>
        </w:rPr>
      </w:pPr>
    </w:p>
    <w:p w14:paraId="714192D2" w14:textId="78E36187" w:rsidR="00CB3975" w:rsidRDefault="00CB3975" w:rsidP="00B5543E">
      <w:pPr>
        <w:rPr>
          <w:lang w:val="en-GB"/>
        </w:rPr>
      </w:pPr>
    </w:p>
    <w:p w14:paraId="4621838F" w14:textId="77777777" w:rsidR="00F15D9C" w:rsidRPr="007F78BA" w:rsidRDefault="00F15D9C" w:rsidP="00B5543E">
      <w:pPr>
        <w:rPr>
          <w:lang w:val="en-GB"/>
        </w:rPr>
      </w:pPr>
    </w:p>
    <w:p w14:paraId="348F96B9" w14:textId="1DE414DA" w:rsidR="00FC7040" w:rsidRPr="006B349B" w:rsidRDefault="0093332A" w:rsidP="006B349B">
      <w:pPr>
        <w:pStyle w:val="Overskrift1"/>
        <w:rPr>
          <w:rFonts w:eastAsia="Times New Roman"/>
          <w:lang w:val="en-GB"/>
        </w:rPr>
      </w:pPr>
      <w:r w:rsidRPr="007F78BA">
        <w:rPr>
          <w:rFonts w:eastAsia="Times New Roman"/>
          <w:lang w:val="en-GB"/>
        </w:rPr>
        <w:lastRenderedPageBreak/>
        <w:t>Introduction</w:t>
      </w:r>
      <w:r w:rsidR="00125666">
        <w:rPr>
          <w:rFonts w:eastAsia="Times New Roman"/>
          <w:lang w:val="en-GB"/>
        </w:rPr>
        <w:t xml:space="preserve"> </w:t>
      </w:r>
    </w:p>
    <w:p w14:paraId="5B9E0123" w14:textId="67501E07" w:rsidR="00CC742A" w:rsidRDefault="003518EB" w:rsidP="006B349B">
      <w:pPr>
        <w:spacing w:line="276" w:lineRule="auto"/>
        <w:ind w:firstLine="720"/>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In 2019, </w:t>
      </w:r>
      <w:r w:rsidRPr="003518EB">
        <w:rPr>
          <w:rFonts w:ascii="Times New Roman" w:eastAsia="Times New Roman" w:hAnsi="Times New Roman" w:cs="Times New Roman"/>
          <w:lang w:val="en-GB"/>
        </w:rPr>
        <w:t xml:space="preserve">sex between men accounted for 38.7% of all new HIV diagnoses in the countries of the European Economic Area </w:t>
      </w:r>
      <w:r w:rsidRPr="003518EB">
        <w:rPr>
          <w:rFonts w:ascii="Times New Roman" w:eastAsia="Times New Roman" w:hAnsi="Times New Roman" w:cs="Times New Roman"/>
          <w:lang w:val="en-GB"/>
        </w:rPr>
        <w:fldChar w:fldCharType="begin"/>
      </w:r>
      <w:r w:rsidRPr="003518EB">
        <w:rPr>
          <w:rFonts w:ascii="Times New Roman" w:eastAsia="Times New Roman" w:hAnsi="Times New Roman" w:cs="Times New Roman"/>
          <w:lang w:val="en-GB"/>
        </w:rPr>
        <w:instrText xml:space="preserve"> ADDIN ZOTERO_ITEM CSL_CITATION {"citationID":"yeqxfFWV","properties":{"formattedCitation":"(European Centre for Disease Prevention and Control &amp; World Health Organization, 2020)","plainCitation":"(European Centre for Disease Prevention and Control &amp; World Health Organization, 2020)","noteIndex":0},"citationItems":[{"id":1706,"uris":["http://zotero.org/users/5061103/items/82IVZ7JB"],"uri":["http://zotero.org/users/5061103/items/82IVZ7JB"],"itemData":{"id":1706,"type":"book","event-place":"LU","language":"en","publisher":"Publications Office","publisher-place":"LU","source":"DOI.org (CSL JSON)","title":"HIV/AIDS surveillance in Europe 2020 : 2019 data","title-short":"HIV/AIDS surveillance in Europe 2020","URL":"https://data.europa.eu/doi/10.2900/073965","author":[{"literal":"European Centre for Disease Prevention and Control"},{"literal":"World Health Organization"}],"accessed":{"date-parts":[["2021",10,13]]},"issued":{"date-parts":[["2020"]]}}}],"schema":"https://github.com/citation-style-language/schema/raw/master/csl-citation.json"} </w:instrText>
      </w:r>
      <w:r w:rsidRPr="003518EB">
        <w:rPr>
          <w:rFonts w:ascii="Times New Roman" w:eastAsia="Times New Roman" w:hAnsi="Times New Roman" w:cs="Times New Roman"/>
          <w:lang w:val="en-GB"/>
        </w:rPr>
        <w:fldChar w:fldCharType="separate"/>
      </w:r>
      <w:r w:rsidRPr="003518EB">
        <w:rPr>
          <w:rFonts w:ascii="Times New Roman" w:eastAsia="Times New Roman" w:hAnsi="Times New Roman" w:cs="Times New Roman"/>
          <w:lang w:val="en-GB"/>
        </w:rPr>
        <w:t>(European Centre for Disease Prevention and Control &amp; World Health Organization, 2020)</w:t>
      </w:r>
      <w:r w:rsidRPr="003518EB">
        <w:rPr>
          <w:rFonts w:ascii="Times New Roman" w:eastAsia="Times New Roman" w:hAnsi="Times New Roman" w:cs="Times New Roman"/>
          <w:lang w:val="en-GB"/>
        </w:rPr>
        <w:fldChar w:fldCharType="end"/>
      </w:r>
      <w:r w:rsidRPr="003518EB">
        <w:rPr>
          <w:rFonts w:ascii="Times New Roman" w:eastAsia="Times New Roman" w:hAnsi="Times New Roman" w:cs="Times New Roman"/>
          <w:lang w:val="en-GB"/>
        </w:rPr>
        <w:t>.</w:t>
      </w:r>
      <w:r w:rsidR="00936CE0">
        <w:rPr>
          <w:rFonts w:ascii="Times New Roman" w:eastAsia="Times New Roman" w:hAnsi="Times New Roman" w:cs="Times New Roman"/>
          <w:lang w:val="en-GB"/>
        </w:rPr>
        <w:t xml:space="preserve"> </w:t>
      </w:r>
      <w:r w:rsidR="00F618D9">
        <w:rPr>
          <w:rFonts w:ascii="Times New Roman" w:eastAsia="Times New Roman" w:hAnsi="Times New Roman" w:cs="Times New Roman"/>
          <w:lang w:val="en-GB"/>
        </w:rPr>
        <w:t>R</w:t>
      </w:r>
      <w:r w:rsidR="00F618D9" w:rsidRPr="0028303A">
        <w:rPr>
          <w:rFonts w:ascii="Times New Roman" w:eastAsia="Times New Roman" w:hAnsi="Times New Roman" w:cs="Times New Roman"/>
          <w:lang w:val="en-GB"/>
        </w:rPr>
        <w:t xml:space="preserve">ates of HIV among </w:t>
      </w:r>
      <w:r w:rsidR="00F618D9">
        <w:rPr>
          <w:rFonts w:ascii="Times New Roman" w:eastAsia="Times New Roman" w:hAnsi="Times New Roman" w:cs="Times New Roman"/>
          <w:lang w:val="en-GB"/>
        </w:rPr>
        <w:t>men who have sex with men (</w:t>
      </w:r>
      <w:r w:rsidR="00F618D9" w:rsidRPr="0028303A">
        <w:rPr>
          <w:rFonts w:ascii="Times New Roman" w:eastAsia="Times New Roman" w:hAnsi="Times New Roman" w:cs="Times New Roman"/>
          <w:lang w:val="en-GB"/>
        </w:rPr>
        <w:t>MSM</w:t>
      </w:r>
      <w:r w:rsidR="00F618D9">
        <w:rPr>
          <w:rFonts w:ascii="Times New Roman" w:eastAsia="Times New Roman" w:hAnsi="Times New Roman" w:cs="Times New Roman"/>
          <w:lang w:val="en-GB"/>
        </w:rPr>
        <w:t>)</w:t>
      </w:r>
      <w:r w:rsidR="00F618D9" w:rsidRPr="0028303A">
        <w:rPr>
          <w:rFonts w:ascii="Times New Roman" w:eastAsia="Times New Roman" w:hAnsi="Times New Roman" w:cs="Times New Roman"/>
          <w:lang w:val="en-GB"/>
        </w:rPr>
        <w:t xml:space="preserve"> </w:t>
      </w:r>
      <w:r w:rsidR="00CC742A">
        <w:rPr>
          <w:rFonts w:ascii="Times New Roman" w:eastAsia="Times New Roman" w:hAnsi="Times New Roman" w:cs="Times New Roman"/>
          <w:lang w:val="en-GB"/>
        </w:rPr>
        <w:t>are particularly high i</w:t>
      </w:r>
      <w:r w:rsidR="0078222C">
        <w:rPr>
          <w:rFonts w:ascii="Times New Roman" w:eastAsia="Times New Roman" w:hAnsi="Times New Roman" w:cs="Times New Roman"/>
          <w:lang w:val="en-GB"/>
        </w:rPr>
        <w:t>n Spain</w:t>
      </w:r>
      <w:r w:rsidR="00CC742A">
        <w:rPr>
          <w:rFonts w:ascii="Times New Roman" w:eastAsia="Times New Roman" w:hAnsi="Times New Roman" w:cs="Times New Roman"/>
          <w:lang w:val="en-GB"/>
        </w:rPr>
        <w:t xml:space="preserve"> and Turkey </w:t>
      </w:r>
      <w:r w:rsidR="00936CE0" w:rsidRPr="0028303A">
        <w:rPr>
          <w:rFonts w:ascii="Times New Roman" w:eastAsia="Times New Roman" w:hAnsi="Times New Roman" w:cs="Times New Roman"/>
          <w:lang w:val="en-GB"/>
        </w:rPr>
        <w:fldChar w:fldCharType="begin"/>
      </w:r>
      <w:r w:rsidR="0028303A" w:rsidRPr="0028303A">
        <w:rPr>
          <w:rFonts w:ascii="Times New Roman" w:eastAsia="Times New Roman" w:hAnsi="Times New Roman" w:cs="Times New Roman"/>
          <w:lang w:val="en-GB"/>
        </w:rPr>
        <w:instrText xml:space="preserve"> ADDIN ZOTERO_ITEM CSL_CITATION {"citationID":"MHkKi4H5","properties":{"formattedCitation":"(Mirandola et al., 2018)","plainCitation":"(Mirandola et al., 2018)","noteIndex":0},"citationItems":[{"id":66,"uris":["http://zotero.org/users/5061103/items/W79RW429"],"uri":["http://zotero.org/users/5061103/items/W79RW429"],"itemData":{"id":66,"type":"article-journal","container-title":"Eurosurveillance","DOI":"10.2807/1560-7917.ES.2018.23.49.1800097","ISSN":"1560-7917","issue":"49","language":"en","source":"Crossref","title":"Quantifying unmet prevention needs among MSM in Europe through a multi-site bio-behavioural survey","URL":"https://www.eurosurveillance.org/content/10.2807/1560-7917.ES.2018.23.49.1800097","volume":"23","author":[{"family":"Mirandola","given":"Massimo"},{"family":"Gios","given":"Lorenzo"},{"family":"Sherriff","given":"Nigel"},{"family":"Marcus","given":"Ulrich"},{"family":"Toskin","given":"Igor"},{"family":"Rosinska","given":"Magdalena"},{"family":"Schink","given":"Susanne"},{"family":"Kühlmann-Berenzon","given":"Sharon"},{"family":"Suligoi","given":"Barbara"},{"family":"Folch","given":"Cinta"},{"family":"Nöstlinger","given":"Christiane"},{"family":"Dias","given":"Sonia"},{"family":"Stanekova","given":"Danica"},{"family":"Klavs","given":"Irena"},{"family":"Caplinskas","given":"Saulius"},{"family":"Rafila","given":"Alexandru"},{"family":"Marin","given":"Carolina"},{"family":"Alexiev","given":"Ivailo"},{"family":"Zohrabyan","given":"Lev"},{"family":"Noori","given":"Teymur"},{"family":"Menel-Lemos","given":"Cinthia"},{"literal":"on behalf of the SIALON II Network"}],"accessed":{"date-parts":[["2021",1,15]]},"issued":{"date-parts":[["2018",12,6]]}}}],"schema":"https://github.com/citation-style-language/schema/raw/master/csl-citation.json"} </w:instrText>
      </w:r>
      <w:r w:rsidR="00936CE0" w:rsidRPr="0028303A">
        <w:rPr>
          <w:rFonts w:ascii="Times New Roman" w:eastAsia="Times New Roman" w:hAnsi="Times New Roman" w:cs="Times New Roman"/>
          <w:lang w:val="en-GB"/>
        </w:rPr>
        <w:fldChar w:fldCharType="separate"/>
      </w:r>
      <w:r w:rsidR="0028303A" w:rsidRPr="0028303A">
        <w:rPr>
          <w:rFonts w:ascii="Times New Roman" w:eastAsia="Times New Roman" w:hAnsi="Times New Roman" w:cs="Times New Roman"/>
          <w:lang w:val="en-GB"/>
        </w:rPr>
        <w:t>(Mirandola et al., 2018)</w:t>
      </w:r>
      <w:r w:rsidR="00936CE0" w:rsidRPr="0028303A">
        <w:rPr>
          <w:rFonts w:ascii="Times New Roman" w:eastAsia="Times New Roman" w:hAnsi="Times New Roman" w:cs="Times New Roman"/>
          <w:lang w:val="en-GB"/>
        </w:rPr>
        <w:fldChar w:fldCharType="end"/>
      </w:r>
      <w:r w:rsidR="0028303A" w:rsidRPr="0028303A">
        <w:rPr>
          <w:rFonts w:ascii="Times New Roman" w:eastAsia="Times New Roman" w:hAnsi="Times New Roman" w:cs="Times New Roman"/>
          <w:lang w:val="en-GB"/>
        </w:rPr>
        <w:t xml:space="preserve"> </w:t>
      </w:r>
      <w:r w:rsidR="0028303A" w:rsidRPr="0028303A">
        <w:rPr>
          <w:rFonts w:ascii="Times New Roman" w:eastAsia="Times New Roman" w:hAnsi="Times New Roman" w:cs="Times New Roman"/>
          <w:lang w:val="en-GB"/>
        </w:rPr>
        <w:fldChar w:fldCharType="begin"/>
      </w:r>
      <w:r w:rsidR="0028303A" w:rsidRPr="0028303A">
        <w:rPr>
          <w:rFonts w:ascii="Times New Roman" w:eastAsia="Times New Roman" w:hAnsi="Times New Roman" w:cs="Times New Roman"/>
          <w:lang w:val="en-GB"/>
        </w:rPr>
        <w:instrText xml:space="preserve"> ADDIN ZOTERO_ITEM CSL_CITATION {"citationID":"Llyeant0","properties":{"formattedCitation":"(Centro Nacional de Epidemiolog\\uc0\\u237{}a, 2018)","plainCitation":"(Centro Nacional de Epidemiología, 2018)","noteIndex":0},"citationItems":[{"id":68,"uris":["http://zotero.org/users/5061103/items/CVD37K6U"],"uri":["http://zotero.org/users/5061103/items/CVD37K6U"],"itemData":{"id":68,"type":"report","collection-title":"Vigilancia Epidemiológica del VIH y sida en España. Sistema de Información sobre Nuevos Diagnósticos de VIH y Registro Nacional de Casos de Sida","event-place":"Madrid","publisher-place":"Madrid","title":"Plan Nacional sobre el Sida, 2017","URL":"https://www.mscbs.gob.es/ciudadanos/enfLesiones/enfTransmisibles/sida/vigilancia/doc/InformeVIH_SIDA_2018_21112018.pdf","author":[{"family":"Centro Nacional de Epidemiología","given":""}],"accessed":{"date-parts":[["2021",10,13]]},"issued":{"date-parts":[["2018"]]}}}],"schema":"https://github.com/citation-style-language/schema/raw/master/csl-citation.json"} </w:instrText>
      </w:r>
      <w:r w:rsidR="0028303A" w:rsidRPr="0028303A">
        <w:rPr>
          <w:rFonts w:ascii="Times New Roman" w:eastAsia="Times New Roman" w:hAnsi="Times New Roman" w:cs="Times New Roman"/>
          <w:lang w:val="en-GB"/>
        </w:rPr>
        <w:fldChar w:fldCharType="separate"/>
      </w:r>
      <w:r w:rsidR="0028303A" w:rsidRPr="0028303A">
        <w:rPr>
          <w:rFonts w:ascii="Times New Roman" w:eastAsia="Times New Roman" w:hAnsi="Times New Roman" w:cs="Times New Roman"/>
          <w:lang w:val="en-GB"/>
        </w:rPr>
        <w:t>(Centro Nacional de Epidemiología, 2018)</w:t>
      </w:r>
      <w:r w:rsidR="0028303A" w:rsidRPr="0028303A">
        <w:rPr>
          <w:rFonts w:ascii="Times New Roman" w:eastAsia="Times New Roman" w:hAnsi="Times New Roman" w:cs="Times New Roman"/>
          <w:lang w:val="en-GB"/>
        </w:rPr>
        <w:fldChar w:fldCharType="end"/>
      </w:r>
      <w:r w:rsidR="0028303A" w:rsidRPr="0028303A">
        <w:rPr>
          <w:rFonts w:ascii="Times New Roman" w:eastAsia="Times New Roman" w:hAnsi="Times New Roman" w:cs="Times New Roman"/>
          <w:lang w:val="en-GB"/>
        </w:rPr>
        <w:t xml:space="preserve"> </w:t>
      </w:r>
      <w:r w:rsidR="00FE7877">
        <w:rPr>
          <w:rFonts w:ascii="Times New Roman" w:eastAsia="Times New Roman" w:hAnsi="Times New Roman" w:cs="Times New Roman"/>
          <w:lang w:val="en-GB"/>
        </w:rPr>
        <w:fldChar w:fldCharType="begin"/>
      </w:r>
      <w:r w:rsidR="00FE7877">
        <w:rPr>
          <w:rFonts w:ascii="Times New Roman" w:eastAsia="Times New Roman" w:hAnsi="Times New Roman" w:cs="Times New Roman"/>
          <w:lang w:val="en-GB"/>
        </w:rPr>
        <w:instrText xml:space="preserve"> ADDIN ZOTERO_ITEM CSL_CITATION {"citationID":"h4vJ1rki","properties":{"formattedCitation":"(T.C. Sa\\uc0\\u287{}l\\uc0\\u305{}k Bakanl\\uc0\\u305{}\\uc0\\u287{}\\uc0\\u305{}, 2021)","plainCitation":"(T.C. Sağlık Bakanlığı, 2021)","noteIndex":0},"citationItems":[{"id":1741,"uris":["http://zotero.org/users/5061103/items/2GWBQ7E2"],"uri":["http://zotero.org/users/5061103/items/2GWBQ7E2"],"itemData":{"id":1741,"type":"article-newspaper","title":"HIV-AIDS İstatistik","URL":"https://hsgm.saglik.gov.tr/tr/bulasici-hastaliklar/hiv-aids/hiv-aids-liste/hiv-aids-istatislik.html","author":[{"family":"T.C. Sağlık Bakanlığı","given":""}],"accessed":{"date-parts":[["2021",10,29]]},"issued":{"date-parts":[["2021"]]}}}],"schema":"https://github.com/citation-style-language/schema/raw/master/csl-citation.json"} </w:instrText>
      </w:r>
      <w:r w:rsidR="00FE7877">
        <w:rPr>
          <w:rFonts w:ascii="Times New Roman" w:eastAsia="Times New Roman" w:hAnsi="Times New Roman" w:cs="Times New Roman"/>
          <w:lang w:val="en-GB"/>
        </w:rPr>
        <w:fldChar w:fldCharType="separate"/>
      </w:r>
      <w:r w:rsidR="00FE7877" w:rsidRPr="00FE7877">
        <w:rPr>
          <w:rFonts w:ascii="Times New Roman" w:hAnsi="Times New Roman" w:cs="Times New Roman"/>
        </w:rPr>
        <w:t>(T.C. Sağlık Bakanlığı, 2021)</w:t>
      </w:r>
      <w:r w:rsidR="00FE7877">
        <w:rPr>
          <w:rFonts w:ascii="Times New Roman" w:eastAsia="Times New Roman" w:hAnsi="Times New Roman" w:cs="Times New Roman"/>
          <w:lang w:val="en-GB"/>
        </w:rPr>
        <w:fldChar w:fldCharType="end"/>
      </w:r>
      <w:r w:rsidR="00FE7877">
        <w:rPr>
          <w:rFonts w:ascii="Times New Roman" w:eastAsia="Times New Roman" w:hAnsi="Times New Roman" w:cs="Times New Roman"/>
          <w:lang w:val="en-GB"/>
        </w:rPr>
        <w:t xml:space="preserve">. </w:t>
      </w:r>
    </w:p>
    <w:p w14:paraId="65E8DFCE" w14:textId="7AB734B8" w:rsidR="00956025" w:rsidRDefault="00FF78B0">
      <w:pPr>
        <w:spacing w:line="276" w:lineRule="auto"/>
        <w:ind w:firstLine="720"/>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There are many </w:t>
      </w:r>
      <w:r w:rsidRPr="00BC1E36">
        <w:rPr>
          <w:rFonts w:ascii="Times New Roman" w:eastAsia="Times New Roman" w:hAnsi="Times New Roman" w:cs="Times New Roman"/>
          <w:lang w:val="en-GB"/>
        </w:rPr>
        <w:t>explanation</w:t>
      </w:r>
      <w:r>
        <w:rPr>
          <w:rFonts w:ascii="Times New Roman" w:eastAsia="Times New Roman" w:hAnsi="Times New Roman" w:cs="Times New Roman"/>
          <w:lang w:val="en-GB"/>
        </w:rPr>
        <w:t>s for</w:t>
      </w:r>
      <w:r w:rsidRPr="009F575B">
        <w:rPr>
          <w:rFonts w:ascii="Times New Roman" w:eastAsia="Times New Roman" w:hAnsi="Times New Roman" w:cs="Times New Roman"/>
          <w:lang w:val="en-GB"/>
        </w:rPr>
        <w:t xml:space="preserve"> behaviours that </w:t>
      </w:r>
      <w:r>
        <w:rPr>
          <w:rFonts w:ascii="Times New Roman" w:eastAsia="Times New Roman" w:hAnsi="Times New Roman" w:cs="Times New Roman"/>
          <w:lang w:val="en-GB"/>
        </w:rPr>
        <w:t xml:space="preserve">may </w:t>
      </w:r>
      <w:r w:rsidRPr="009F575B">
        <w:rPr>
          <w:rFonts w:ascii="Times New Roman" w:eastAsia="Times New Roman" w:hAnsi="Times New Roman" w:cs="Times New Roman"/>
          <w:lang w:val="en-GB"/>
        </w:rPr>
        <w:t>increase HIV transmission risk</w:t>
      </w:r>
      <w:r>
        <w:rPr>
          <w:rFonts w:ascii="Times New Roman" w:eastAsia="Times New Roman" w:hAnsi="Times New Roman" w:cs="Times New Roman"/>
          <w:lang w:val="en-GB"/>
        </w:rPr>
        <w:t xml:space="preserve"> among MSM, of which</w:t>
      </w:r>
      <w:r>
        <w:rPr>
          <w:rFonts w:ascii="Times New Roman" w:hAnsi="Times New Roman" w:cs="Times New Roman"/>
          <w:sz w:val="20"/>
          <w:szCs w:val="20"/>
          <w:lang w:val="en-GB"/>
        </w:rPr>
        <w:t xml:space="preserve"> </w:t>
      </w:r>
      <w:r w:rsidR="00CC742A">
        <w:rPr>
          <w:rFonts w:ascii="Times New Roman" w:eastAsia="Times New Roman" w:hAnsi="Times New Roman" w:cs="Times New Roman"/>
          <w:lang w:val="en-GB"/>
        </w:rPr>
        <w:t xml:space="preserve">Meyer’s minority stress model </w:t>
      </w:r>
      <w:r w:rsidR="00CC742A">
        <w:rPr>
          <w:rFonts w:ascii="Times New Roman" w:hAnsi="Times New Roman" w:cs="Times New Roman"/>
          <w:sz w:val="20"/>
          <w:szCs w:val="20"/>
          <w:lang w:val="en-GB"/>
        </w:rPr>
        <w:t xml:space="preserve"> (</w:t>
      </w:r>
      <w:r w:rsidR="009F575B" w:rsidRPr="009F575B">
        <w:rPr>
          <w:rFonts w:ascii="Times New Roman" w:eastAsia="Times New Roman" w:hAnsi="Times New Roman" w:cs="Times New Roman"/>
          <w:lang w:val="en-GB"/>
        </w:rPr>
        <w:fldChar w:fldCharType="begin"/>
      </w:r>
      <w:r w:rsidR="009F575B" w:rsidRPr="009F575B">
        <w:rPr>
          <w:rFonts w:ascii="Times New Roman" w:eastAsia="Times New Roman" w:hAnsi="Times New Roman" w:cs="Times New Roman"/>
          <w:lang w:val="en-GB"/>
        </w:rPr>
        <w:instrText xml:space="preserve"> ADDIN ZOTERO_ITEM CSL_CITATION {"citationID":"Xr74a9Kx","properties":{"formattedCitation":"(Meyer, 2003)","plainCitation":"(Meyer, 2003)","dontUpdate":true,"noteIndex":0},"citationItems":[{"id":60,"uris":["http://zotero.org/users/5061103/items/KZF68WY4"],"uri":["http://zotero.org/users/5061103/items/KZF68WY4"],"itemData":{"id":60,"type":"article-journal","abstract":"In this article the author reviews research evidence on the prevalence of mental disorders in lesbians, gay men, and bisexuals (LGBs) and shows, using meta-analyses, that LGBs have a higher prevalence of mental disorders than heterosexuals. The author offers a conceptual framework for understanding this excess in prevalence of disorder in terms of minority stress—explaining that stigma, prejudice, and discrimination create a hostile and stressful social environment that causes mental health problems. The model describes stress processes, including the experience of prejudice events, expectations of rejection, hiding and concealing, internalized homophobia, and ameliorative coping processes. This conceptual framework is the basis for the review of research evidence, suggestions for future research directions, and exploration of public policy implications.","container-title":"Psychol Bull","issue":"5","language":"en","page":"674-697","source":"Zotero","title":"Prejudice, Social Stress, and Mental Health in Lesbian, Gay, and Bisexual Populations: Conceptual Issues and Research Evidence","volume":"129","author":[{"family":"Meyer","given":"Ilan H"}],"issued":{"date-parts":[["2003"]]}}}],"schema":"https://github.com/citation-style-language/schema/raw/master/csl-citation.json"} </w:instrText>
      </w:r>
      <w:r w:rsidR="009F575B" w:rsidRPr="009F575B">
        <w:rPr>
          <w:rFonts w:ascii="Times New Roman" w:eastAsia="Times New Roman" w:hAnsi="Times New Roman" w:cs="Times New Roman"/>
          <w:lang w:val="en-GB"/>
        </w:rPr>
        <w:fldChar w:fldCharType="separate"/>
      </w:r>
      <w:r w:rsidR="009F575B" w:rsidRPr="009F575B">
        <w:rPr>
          <w:rFonts w:ascii="Times New Roman" w:eastAsia="Times New Roman" w:hAnsi="Times New Roman" w:cs="Times New Roman"/>
          <w:lang w:val="en-GB"/>
        </w:rPr>
        <w:t>Meyer (2003)</w:t>
      </w:r>
      <w:r w:rsidR="009F575B" w:rsidRPr="009F575B">
        <w:rPr>
          <w:rFonts w:ascii="Times New Roman" w:eastAsia="Times New Roman" w:hAnsi="Times New Roman" w:cs="Times New Roman"/>
          <w:lang w:val="en-GB"/>
        </w:rPr>
        <w:fldChar w:fldCharType="end"/>
      </w:r>
      <w:r w:rsidR="00CC742A">
        <w:rPr>
          <w:rFonts w:ascii="Times New Roman" w:eastAsia="Times New Roman" w:hAnsi="Times New Roman" w:cs="Times New Roman"/>
          <w:lang w:val="en-GB"/>
        </w:rPr>
        <w:t>)</w:t>
      </w:r>
      <w:r w:rsidR="003B2151">
        <w:rPr>
          <w:rFonts w:ascii="Times New Roman" w:eastAsia="Times New Roman" w:hAnsi="Times New Roman" w:cs="Times New Roman"/>
          <w:lang w:val="en-GB"/>
        </w:rPr>
        <w:t xml:space="preserve"> is an oft cited explanatory model</w:t>
      </w:r>
      <w:r w:rsidR="00CC742A">
        <w:rPr>
          <w:rFonts w:ascii="Times New Roman" w:eastAsia="Times New Roman" w:hAnsi="Times New Roman" w:cs="Times New Roman"/>
          <w:lang w:val="en-GB"/>
        </w:rPr>
        <w:t>. The model</w:t>
      </w:r>
      <w:r w:rsidR="009F575B" w:rsidRPr="009F575B">
        <w:rPr>
          <w:rFonts w:ascii="Times New Roman" w:eastAsia="Times New Roman" w:hAnsi="Times New Roman" w:cs="Times New Roman"/>
          <w:lang w:val="en-GB"/>
        </w:rPr>
        <w:t xml:space="preserve"> refers to the “excess stress to which individuals from stigmatized social categories are exposed as a result of their social, often a minority, position</w:t>
      </w:r>
      <w:r w:rsidR="00F33597">
        <w:rPr>
          <w:rFonts w:ascii="Times New Roman" w:eastAsia="Times New Roman" w:hAnsi="Times New Roman" w:cs="Times New Roman"/>
          <w:lang w:val="en-GB"/>
        </w:rPr>
        <w:t xml:space="preserve">.” </w:t>
      </w:r>
      <w:r w:rsidR="003B2151">
        <w:rPr>
          <w:rFonts w:ascii="Times New Roman" w:eastAsia="Times New Roman" w:hAnsi="Times New Roman" w:cs="Times New Roman"/>
          <w:lang w:val="en-GB"/>
        </w:rPr>
        <w:t>A</w:t>
      </w:r>
      <w:r w:rsidR="00BC1E36" w:rsidRPr="009F575B">
        <w:rPr>
          <w:rFonts w:ascii="Times New Roman" w:eastAsia="Times New Roman" w:hAnsi="Times New Roman" w:cs="Times New Roman"/>
          <w:lang w:val="en-GB"/>
        </w:rPr>
        <w:t xml:space="preserve"> minority stressor </w:t>
      </w:r>
      <w:r w:rsidR="004B3D02">
        <w:rPr>
          <w:rFonts w:ascii="Times New Roman" w:eastAsia="Times New Roman" w:hAnsi="Times New Roman" w:cs="Times New Roman"/>
          <w:lang w:val="en-GB"/>
        </w:rPr>
        <w:t xml:space="preserve">relevant to </w:t>
      </w:r>
      <w:r w:rsidR="004B3D02" w:rsidRPr="009F575B">
        <w:rPr>
          <w:rFonts w:ascii="Times New Roman" w:eastAsia="Times New Roman" w:hAnsi="Times New Roman" w:cs="Times New Roman"/>
          <w:lang w:val="en-GB"/>
        </w:rPr>
        <w:t>HIV transmission risk</w:t>
      </w:r>
      <w:r w:rsidR="004B3D02">
        <w:rPr>
          <w:rFonts w:ascii="Times New Roman" w:eastAsia="Times New Roman" w:hAnsi="Times New Roman" w:cs="Times New Roman"/>
          <w:lang w:val="en-GB"/>
        </w:rPr>
        <w:t xml:space="preserve"> </w:t>
      </w:r>
      <w:r w:rsidR="00BC1E36" w:rsidRPr="009F575B">
        <w:rPr>
          <w:rFonts w:ascii="Times New Roman" w:eastAsia="Times New Roman" w:hAnsi="Times New Roman" w:cs="Times New Roman"/>
          <w:lang w:val="en-GB"/>
        </w:rPr>
        <w:t>that</w:t>
      </w:r>
      <w:r w:rsidR="003B2151">
        <w:rPr>
          <w:rFonts w:ascii="Times New Roman" w:eastAsia="Times New Roman" w:hAnsi="Times New Roman" w:cs="Times New Roman"/>
          <w:lang w:val="en-GB"/>
        </w:rPr>
        <w:t xml:space="preserve"> </w:t>
      </w:r>
      <w:r w:rsidR="00BC1E36" w:rsidRPr="009F575B">
        <w:rPr>
          <w:rFonts w:ascii="Times New Roman" w:eastAsia="Times New Roman" w:hAnsi="Times New Roman" w:cs="Times New Roman"/>
          <w:lang w:val="en-GB"/>
        </w:rPr>
        <w:t>has been expanded upon in Meyer’s (2003) model</w:t>
      </w:r>
      <w:r w:rsidR="00994652">
        <w:rPr>
          <w:rFonts w:ascii="Times New Roman" w:eastAsia="Times New Roman" w:hAnsi="Times New Roman" w:cs="Times New Roman"/>
          <w:lang w:val="en-GB"/>
        </w:rPr>
        <w:t xml:space="preserve"> is Int</w:t>
      </w:r>
      <w:r w:rsidR="00994652" w:rsidRPr="009F575B">
        <w:rPr>
          <w:rFonts w:ascii="Times New Roman" w:eastAsia="Times New Roman" w:hAnsi="Times New Roman" w:cs="Times New Roman"/>
          <w:lang w:val="en-GB"/>
        </w:rPr>
        <w:t>ernalised Homonegativity (IH)</w:t>
      </w:r>
      <w:r w:rsidR="003B2151">
        <w:rPr>
          <w:rFonts w:ascii="Times New Roman" w:eastAsia="Times New Roman" w:hAnsi="Times New Roman" w:cs="Times New Roman"/>
          <w:lang w:val="en-GB"/>
        </w:rPr>
        <w:t>. It is</w:t>
      </w:r>
      <w:r w:rsidR="00171CBC">
        <w:rPr>
          <w:rFonts w:ascii="Times New Roman" w:eastAsia="Times New Roman" w:hAnsi="Times New Roman" w:cs="Times New Roman"/>
          <w:lang w:val="en-GB"/>
        </w:rPr>
        <w:t xml:space="preserve"> </w:t>
      </w:r>
      <w:r w:rsidR="00171CBC" w:rsidRPr="009F575B">
        <w:rPr>
          <w:rFonts w:ascii="Times New Roman" w:eastAsia="Times New Roman" w:hAnsi="Times New Roman" w:cs="Times New Roman"/>
          <w:lang w:val="en-GB"/>
        </w:rPr>
        <w:t>defined as negative feelings about one's homosexuality</w:t>
      </w:r>
      <w:r w:rsidR="003B2151">
        <w:rPr>
          <w:rFonts w:ascii="Times New Roman" w:eastAsia="Times New Roman" w:hAnsi="Times New Roman" w:cs="Times New Roman"/>
          <w:lang w:val="en-GB"/>
        </w:rPr>
        <w:t>, as a</w:t>
      </w:r>
      <w:r w:rsidR="003B2151" w:rsidRPr="009F575B">
        <w:rPr>
          <w:rFonts w:ascii="Times New Roman" w:eastAsia="Times New Roman" w:hAnsi="Times New Roman" w:cs="Times New Roman"/>
          <w:lang w:val="en-GB"/>
        </w:rPr>
        <w:t xml:space="preserve"> product of social and political stigma and bias</w:t>
      </w:r>
      <w:r w:rsidR="003B2151">
        <w:rPr>
          <w:rFonts w:ascii="Times New Roman" w:eastAsia="Times New Roman" w:hAnsi="Times New Roman" w:cs="Times New Roman"/>
          <w:lang w:val="en-GB"/>
        </w:rPr>
        <w:t xml:space="preserve"> rather than</w:t>
      </w:r>
      <w:r w:rsidR="003B2151" w:rsidRPr="009F575B">
        <w:rPr>
          <w:rFonts w:ascii="Times New Roman" w:eastAsia="Times New Roman" w:hAnsi="Times New Roman" w:cs="Times New Roman"/>
          <w:lang w:val="en-GB"/>
        </w:rPr>
        <w:t xml:space="preserve"> a response which stems from within individuals</w:t>
      </w:r>
      <w:r w:rsidR="00171CBC" w:rsidRPr="009F575B">
        <w:rPr>
          <w:rFonts w:ascii="Times New Roman" w:eastAsia="Times New Roman" w:hAnsi="Times New Roman" w:cs="Times New Roman"/>
          <w:lang w:val="en-GB"/>
        </w:rPr>
        <w:t xml:space="preserve"> </w:t>
      </w:r>
      <w:r w:rsidR="00171CBC" w:rsidRPr="009F575B">
        <w:rPr>
          <w:rFonts w:ascii="Times New Roman" w:eastAsia="Times New Roman" w:hAnsi="Times New Roman" w:cs="Times New Roman"/>
          <w:lang w:val="en-GB"/>
        </w:rPr>
        <w:fldChar w:fldCharType="begin"/>
      </w:r>
      <w:r w:rsidR="00171CBC" w:rsidRPr="009F575B">
        <w:rPr>
          <w:rFonts w:ascii="Times New Roman" w:eastAsia="Times New Roman" w:hAnsi="Times New Roman" w:cs="Times New Roman"/>
          <w:lang w:val="en-GB"/>
        </w:rPr>
        <w:instrText xml:space="preserve"> ADDIN ZOTERO_ITEM CSL_CITATION {"citationID":"VA9p5Xup","properties":{"formattedCitation":"(Herek, 2004)","plainCitation":"(Herek, 2004)","noteIndex":0},"citationItems":[{"id":59,"uris":["http://zotero.org/users/5061103/items/U2DRAW3X"],"uri":["http://zotero.org/users/5061103/items/U2DRAW3X"],"itemData":{"id":59,"type":"article-journal","abstract":"George Weinberg’s introduction of the term homophobia in the late 1960s challenged traditional thinking about homosexuality and helped focus society’s attention on the problem of antigay prejudice and stigma. This paper briefly describes the history and impact of homophobia. The term’s limitations are discussed, including its underlying assumption that antigay prejudice is based mainly on fear and its inability to account for historical changes in how society regards homosexuality and heterosexuality as the bases for social identities. Although the importance of Weinberg’s contribution should not be underestimated, a new vocabulary is needed to advance scholarship in this area. Toward this end, three constructs are defined and discussed: sexual stigma (the shared knowledge of society’s negative regard for any nonheterosexual behavior, identity, relationship, or community), heterosexism (the cultural ideology that perpetuates sexual stigma), and sexual prejudice (individuals’ negative attitudes based on sexual orientation). The concept of internalized homophobia is briefly considered.","container-title":"Sexuality Research and Social Policy","DOI":"10.1525/srsp.2004.1.2.6","ISSN":"1868-9884, 1553-6610","issue":"2","language":"en","page":"6-24","source":"Crossref","title":"Beyond “Homophobia”: Thinking about sexual prejudice and stigma in the twenty-first century","title-short":"Beyond “Homophobia”","volume":"1","author":[{"family":"Herek","given":"Gregory M."}],"issued":{"date-parts":[["2004",4]]}}}],"schema":"https://github.com/citation-style-language/schema/raw/master/csl-citation.json"} </w:instrText>
      </w:r>
      <w:r w:rsidR="00171CBC" w:rsidRPr="009F575B">
        <w:rPr>
          <w:rFonts w:ascii="Times New Roman" w:eastAsia="Times New Roman" w:hAnsi="Times New Roman" w:cs="Times New Roman"/>
          <w:lang w:val="en-GB"/>
        </w:rPr>
        <w:fldChar w:fldCharType="separate"/>
      </w:r>
      <w:r w:rsidR="00171CBC" w:rsidRPr="009F575B">
        <w:rPr>
          <w:rFonts w:ascii="Times New Roman" w:eastAsia="Times New Roman" w:hAnsi="Times New Roman" w:cs="Times New Roman"/>
          <w:lang w:val="en-GB"/>
        </w:rPr>
        <w:t>(Herek, 2004)</w:t>
      </w:r>
      <w:r w:rsidR="00171CBC" w:rsidRPr="009F575B">
        <w:rPr>
          <w:rFonts w:ascii="Times New Roman" w:eastAsia="Times New Roman" w:hAnsi="Times New Roman" w:cs="Times New Roman"/>
          <w:lang w:val="en-GB"/>
        </w:rPr>
        <w:fldChar w:fldCharType="end"/>
      </w:r>
      <w:r w:rsidR="00171CBC">
        <w:rPr>
          <w:rFonts w:ascii="Times New Roman" w:eastAsia="Times New Roman" w:hAnsi="Times New Roman" w:cs="Times New Roman"/>
          <w:lang w:val="en-GB"/>
        </w:rPr>
        <w:t>.</w:t>
      </w:r>
      <w:r w:rsidR="004B3D02">
        <w:rPr>
          <w:rFonts w:ascii="Times New Roman" w:eastAsia="Times New Roman" w:hAnsi="Times New Roman" w:cs="Times New Roman"/>
          <w:lang w:val="en-GB"/>
        </w:rPr>
        <w:t xml:space="preserve"> </w:t>
      </w:r>
      <w:r w:rsidR="00F33597">
        <w:rPr>
          <w:rFonts w:ascii="Times New Roman" w:eastAsia="Times New Roman" w:hAnsi="Times New Roman" w:cs="Times New Roman"/>
          <w:lang w:val="en-GB"/>
        </w:rPr>
        <w:t xml:space="preserve">IH </w:t>
      </w:r>
      <w:r w:rsidR="003B2151">
        <w:rPr>
          <w:rFonts w:ascii="Times New Roman" w:eastAsia="Times New Roman" w:hAnsi="Times New Roman" w:cs="Times New Roman"/>
          <w:lang w:val="en-GB"/>
        </w:rPr>
        <w:t xml:space="preserve">has been found to be </w:t>
      </w:r>
      <w:r w:rsidR="00F33597">
        <w:rPr>
          <w:rFonts w:ascii="Times New Roman" w:eastAsia="Times New Roman" w:hAnsi="Times New Roman" w:cs="Times New Roman"/>
          <w:lang w:val="en-GB"/>
        </w:rPr>
        <w:t xml:space="preserve">associated with </w:t>
      </w:r>
      <w:r w:rsidR="003B2151">
        <w:rPr>
          <w:rFonts w:ascii="Times New Roman" w:eastAsia="Times New Roman" w:hAnsi="Times New Roman" w:cs="Times New Roman"/>
          <w:lang w:val="en-GB"/>
        </w:rPr>
        <w:t xml:space="preserve">reduced </w:t>
      </w:r>
      <w:r w:rsidR="00F33597" w:rsidRPr="00F33597">
        <w:rPr>
          <w:rFonts w:ascii="Times New Roman" w:eastAsia="Times New Roman" w:hAnsi="Times New Roman" w:cs="Times New Roman"/>
          <w:lang w:val="en-GB"/>
        </w:rPr>
        <w:t>mental health and well-being</w:t>
      </w:r>
      <w:r w:rsidR="003B2151" w:rsidRPr="00F33597">
        <w:rPr>
          <w:rFonts w:ascii="Times New Roman" w:eastAsia="Times New Roman" w:hAnsi="Times New Roman" w:cs="Times New Roman"/>
          <w:lang w:val="en-GB"/>
        </w:rPr>
        <w:t xml:space="preserve"> </w:t>
      </w:r>
      <w:r w:rsidR="00F33597" w:rsidRPr="00F33597">
        <w:rPr>
          <w:rFonts w:ascii="Times New Roman" w:eastAsia="Times New Roman" w:hAnsi="Times New Roman" w:cs="Times New Roman"/>
          <w:lang w:val="en-GB"/>
        </w:rPr>
        <w:fldChar w:fldCharType="begin"/>
      </w:r>
      <w:r w:rsidR="00F33597" w:rsidRPr="00F33597">
        <w:rPr>
          <w:rFonts w:ascii="Times New Roman" w:eastAsia="Times New Roman" w:hAnsi="Times New Roman" w:cs="Times New Roman"/>
          <w:lang w:val="en-GB"/>
        </w:rPr>
        <w:instrText xml:space="preserve"> ADDIN ZOTERO_ITEM CSL_CITATION {"citationID":"zT0YIDxW","properties":{"formattedCitation":"(Newcomb &amp; Mustanski, 2010a)","plainCitation":"(Newcomb &amp; Mustanski, 2010a)","noteIndex":0},"citationItems":[{"id":58,"uris":["http://zotero.org/users/5061103/items/W5GITNRE"],"uri":["http://zotero.org/users/5061103/items/W5GITNRE"],"itemData":{"id":58,"type":"article-journal","abstract":"Research on internalized homophobia (IH) has linked it to both mental and physical health outcomes. Extant research indicates that IH and mental health are related in a variety of different subgroups of lesbian, gay and bisexual (LGB) persons. However, much of this research has suffered from methodological issues. Studies have frequently substituted distress-related constructs (e.g., self-esteem and general well-being) for measures of internalizing mental health problems. Furthermore, many studies have misapplied measures of IH designed for gay men with lesbian samples. The current study used Hierarchical Linear Modeling to perform meta-analysis. Effect sizes were combined across multiple studies that used dimensional measures of internalizing mental health problems (i.e., depression and anxiety). The use of multilevel modeling techniques allowed for the evaluation of moderating effects on these relationships, including those of gender, year of data collection, mean age of the sample, publication type, and type of symptomatology measured. Thirty-one studies were meta-analyzed for the relationship between IH and mental health (N = 5831), revealing a small to moderate overall effect size for the relationship between the two variables. Higher levels of IH were associated with higher scores on dimensional measures of internalizing mental health problems. Signiﬁcant moderating effects were also found for mean age of the sample and the type of symptomatology measured in each study. The relationship between IH and internalizing mental health problems was stronger in studies with a higher mean age. The relationship between IH and depressive symptomatology was stronger than the relationship between IH and symptoms of anxiety. Limitations and future research directions are discussed as well as implications for clinical practice.","container-title":"Clinical Psychology Review","DOI":"10.1016/j.cpr.2010.07.003","ISSN":"02727358","issue":"8","language":"en","page":"1019-1029","source":"Crossref","title":"Internalized homophobia and internalizing mental health problems: A meta-analytic review","title-short":"Internalized homophobia and internalizing mental health problems","volume":"30","author":[{"family":"Newcomb","given":"Michael E."},{"family":"Mustanski","given":"Brian"}],"issued":{"date-parts":[["2010",12]]}}}],"schema":"https://github.com/citation-style-language/schema/raw/master/csl-citation.json"} </w:instrText>
      </w:r>
      <w:r w:rsidR="00F33597" w:rsidRPr="00F33597">
        <w:rPr>
          <w:rFonts w:ascii="Times New Roman" w:eastAsia="Times New Roman" w:hAnsi="Times New Roman" w:cs="Times New Roman"/>
          <w:lang w:val="en-GB"/>
        </w:rPr>
        <w:fldChar w:fldCharType="separate"/>
      </w:r>
      <w:r w:rsidR="00F33597" w:rsidRPr="00F33597">
        <w:rPr>
          <w:rFonts w:ascii="Times New Roman" w:eastAsia="Times New Roman" w:hAnsi="Times New Roman" w:cs="Times New Roman"/>
          <w:lang w:val="en-GB"/>
        </w:rPr>
        <w:t>(Newcomb &amp; Mustanski, 2010a)</w:t>
      </w:r>
      <w:r w:rsidR="00F33597" w:rsidRPr="00F33597">
        <w:rPr>
          <w:rFonts w:ascii="Times New Roman" w:eastAsia="Times New Roman" w:hAnsi="Times New Roman" w:cs="Times New Roman"/>
          <w:lang w:val="en-GB"/>
        </w:rPr>
        <w:fldChar w:fldCharType="end"/>
      </w:r>
      <w:r w:rsidR="00240674">
        <w:rPr>
          <w:rFonts w:ascii="Times New Roman" w:eastAsia="Times New Roman" w:hAnsi="Times New Roman" w:cs="Times New Roman"/>
          <w:lang w:val="en-GB"/>
        </w:rPr>
        <w:t xml:space="preserve">, </w:t>
      </w:r>
      <w:r w:rsidR="004B0D9E">
        <w:rPr>
          <w:rFonts w:ascii="Times New Roman" w:eastAsia="Times New Roman" w:hAnsi="Times New Roman" w:cs="Times New Roman"/>
          <w:lang w:val="en-GB"/>
        </w:rPr>
        <w:t xml:space="preserve">problems with coming out </w:t>
      </w:r>
      <w:r w:rsidR="004B0D9E">
        <w:rPr>
          <w:rFonts w:ascii="Times New Roman" w:eastAsia="Times New Roman" w:hAnsi="Times New Roman" w:cs="Times New Roman"/>
          <w:lang w:val="en-GB"/>
        </w:rPr>
        <w:fldChar w:fldCharType="begin"/>
      </w:r>
      <w:r w:rsidR="004B0D9E">
        <w:rPr>
          <w:rFonts w:ascii="Times New Roman" w:eastAsia="Times New Roman" w:hAnsi="Times New Roman" w:cs="Times New Roman"/>
          <w:lang w:val="en-GB"/>
        </w:rPr>
        <w:instrText xml:space="preserve"> ADDIN ZOTERO_ITEM CSL_CITATION {"citationID":"ZBrsTTX0","properties":{"formattedCitation":"(Costa et al., 2013)","plainCitation":"(Costa et al., 2013)","noteIndex":0},"citationItems":[{"id":586,"uris":["http://zotero.org/users/5061103/items/4YP7KP8X"],"uri":["http://zotero.org/users/5061103/items/4YP7KP8X"],"itemData":{"id":586,"type":"article-journal","abstract":"The purpose of this study was to assess internalized homonegativity and its correlates in a sample of Portuguese self-identiﬁed gay and bisexual men, and lesbian and bisexual women. Five hundred eighty participants, aged between 18 and 76 (M = 31, SD = 10), responded to an online questionnaire that included a demographic questionnaire and the Internalized Homophobia Scale. Results revealed that though lesbians revealed the lowest levels of internalized homonegativity and were the most likely to disclose to parents and friends, bisexual men scored the highest on levels of internalized homonegativity and were the most likely to hide their sexual orientation.","container-title":"Journal of Bisexuality","DOI":"10.1080/15299716.2013.782481","ISSN":"1529-9716, 1529-9724","issue":"2","language":"en","page":"229-244","source":"Crossref","title":"Internalized Homonegativity, Disclosure, and Acceptance of Sexual Orientation in a Sample of Portuguese Gay and Bisexual Men, and Lesbian and Bisexual Women","volume":"13","author":[{"family":"Costa","given":"Pedro Alexandre"},{"family":"Pereira","given":"Henrique"},{"family":"Leal","given":"Isabel"}],"issued":{"date-parts":[["2013",4]]}}}],"schema":"https://github.com/citation-style-language/schema/raw/master/csl-citation.json"} </w:instrText>
      </w:r>
      <w:r w:rsidR="004B0D9E">
        <w:rPr>
          <w:rFonts w:ascii="Times New Roman" w:eastAsia="Times New Roman" w:hAnsi="Times New Roman" w:cs="Times New Roman"/>
          <w:lang w:val="en-GB"/>
        </w:rPr>
        <w:fldChar w:fldCharType="separate"/>
      </w:r>
      <w:r w:rsidR="004B0D9E">
        <w:rPr>
          <w:rFonts w:ascii="Times New Roman" w:eastAsia="Times New Roman" w:hAnsi="Times New Roman" w:cs="Times New Roman"/>
          <w:noProof/>
          <w:lang w:val="en-GB"/>
        </w:rPr>
        <w:t>(Costa et al., 2013)</w:t>
      </w:r>
      <w:r w:rsidR="004B0D9E">
        <w:rPr>
          <w:rFonts w:ascii="Times New Roman" w:eastAsia="Times New Roman" w:hAnsi="Times New Roman" w:cs="Times New Roman"/>
          <w:lang w:val="en-GB"/>
        </w:rPr>
        <w:fldChar w:fldCharType="end"/>
      </w:r>
      <w:r w:rsidR="004B0D9E">
        <w:rPr>
          <w:rFonts w:ascii="Times New Roman" w:eastAsia="Times New Roman" w:hAnsi="Times New Roman" w:cs="Times New Roman"/>
          <w:lang w:val="en-GB"/>
        </w:rPr>
        <w:t xml:space="preserve">, and depression and drug use </w:t>
      </w:r>
      <w:r w:rsidR="004B0D9E">
        <w:rPr>
          <w:rFonts w:ascii="Times New Roman" w:eastAsia="Times New Roman" w:hAnsi="Times New Roman" w:cs="Times New Roman"/>
          <w:lang w:val="en-GB"/>
        </w:rPr>
        <w:fldChar w:fldCharType="begin"/>
      </w:r>
      <w:r w:rsidR="004B0D9E">
        <w:rPr>
          <w:rFonts w:ascii="Times New Roman" w:eastAsia="Times New Roman" w:hAnsi="Times New Roman" w:cs="Times New Roman"/>
          <w:lang w:val="en-GB"/>
        </w:rPr>
        <w:instrText xml:space="preserve"> ADDIN ZOTERO_ITEM CSL_CITATION {"citationID":"L9YTxk9f","properties":{"formattedCitation":"(Moody et al., 2018)","plainCitation":"(Moody et al., 2018)","noteIndex":0},"citationItems":[{"id":10,"uris":["http://zotero.org/users/5061103/items/SDKBIWWS"],"uri":["http://zotero.org/users/5061103/items/SDKBIWWS"],"itemData":{"id":10,"type":"article-journal","container-title":"Archives of Sexual Behavior","DOI":"10.1007/s10508-017-1009-2","ISSN":"0004-0002, 1573-2800","issue":"4","journalAbbreviation":"Arch Sex Behav","language":"en","page":"1133-1144","source":"DOI.org (Crossref)","title":"Internalized Homophobia and Drug Use in a National Cohort of Gay and Bisexual Men: Examining Depression, Sexual Anxiety, and Gay Community Attachment as Mediating Factors","title-short":"Internalized Homophobia and Drug Use in a National Cohort of Gay and Bisexual Men","volume":"47","author":[{"family":"Moody","given":"Raymond L."},{"family":"Starks","given":"Tyrel J."},{"family":"Grov","given":"Christian"},{"family":"Parsons","given":"Jeffrey T."}],"issued":{"date-parts":[["2018",5]]}}}],"schema":"https://github.com/citation-style-language/schema/raw/master/csl-citation.json"} </w:instrText>
      </w:r>
      <w:r w:rsidR="004B0D9E">
        <w:rPr>
          <w:rFonts w:ascii="Times New Roman" w:eastAsia="Times New Roman" w:hAnsi="Times New Roman" w:cs="Times New Roman"/>
          <w:lang w:val="en-GB"/>
        </w:rPr>
        <w:fldChar w:fldCharType="separate"/>
      </w:r>
      <w:r w:rsidR="004B0D9E">
        <w:rPr>
          <w:rFonts w:ascii="Times New Roman" w:eastAsia="Times New Roman" w:hAnsi="Times New Roman" w:cs="Times New Roman"/>
          <w:noProof/>
          <w:lang w:val="en-GB"/>
        </w:rPr>
        <w:t>(Moody et al., 2018)</w:t>
      </w:r>
      <w:r w:rsidR="004B0D9E">
        <w:rPr>
          <w:rFonts w:ascii="Times New Roman" w:eastAsia="Times New Roman" w:hAnsi="Times New Roman" w:cs="Times New Roman"/>
          <w:lang w:val="en-GB"/>
        </w:rPr>
        <w:fldChar w:fldCharType="end"/>
      </w:r>
      <w:r w:rsidR="004B0D9E">
        <w:rPr>
          <w:rFonts w:ascii="Times New Roman" w:eastAsia="Times New Roman" w:hAnsi="Times New Roman" w:cs="Times New Roman"/>
          <w:lang w:val="en-GB"/>
        </w:rPr>
        <w:t xml:space="preserve">. </w:t>
      </w:r>
      <w:r w:rsidR="004B3D02">
        <w:rPr>
          <w:rFonts w:ascii="Times New Roman" w:eastAsia="Times New Roman" w:hAnsi="Times New Roman" w:cs="Times New Roman"/>
          <w:lang w:val="en-GB"/>
        </w:rPr>
        <w:t xml:space="preserve">Importantly, </w:t>
      </w:r>
      <w:r w:rsidR="00E0396F" w:rsidRPr="008906F0">
        <w:rPr>
          <w:rFonts w:ascii="Times New Roman" w:hAnsi="Times New Roman" w:cs="Times New Roman"/>
          <w:lang w:val="en-GB"/>
        </w:rPr>
        <w:t xml:space="preserve">findings about the associations between </w:t>
      </w:r>
      <w:r w:rsidR="00E0396F">
        <w:rPr>
          <w:rFonts w:ascii="Times New Roman" w:hAnsi="Times New Roman" w:cs="Times New Roman"/>
          <w:lang w:val="en-GB"/>
        </w:rPr>
        <w:t xml:space="preserve">IH and well-being, </w:t>
      </w:r>
      <w:r w:rsidR="00E0396F" w:rsidRPr="008906F0">
        <w:rPr>
          <w:rFonts w:ascii="Times New Roman" w:hAnsi="Times New Roman" w:cs="Times New Roman"/>
          <w:lang w:val="en-GB"/>
        </w:rPr>
        <w:t>depression</w:t>
      </w:r>
      <w:r w:rsidR="00E0396F">
        <w:rPr>
          <w:rFonts w:ascii="Times New Roman" w:hAnsi="Times New Roman" w:cs="Times New Roman"/>
          <w:lang w:val="en-GB"/>
        </w:rPr>
        <w:t xml:space="preserve">, and </w:t>
      </w:r>
      <w:r w:rsidR="00E0396F" w:rsidRPr="008906F0">
        <w:rPr>
          <w:rFonts w:ascii="Times New Roman" w:hAnsi="Times New Roman" w:cs="Times New Roman"/>
          <w:lang w:val="en-GB"/>
        </w:rPr>
        <w:t xml:space="preserve">drug use are factors that are known to be associated with </w:t>
      </w:r>
      <w:r w:rsidR="00E0396F">
        <w:rPr>
          <w:rFonts w:ascii="Times New Roman" w:hAnsi="Times New Roman" w:cs="Times New Roman"/>
          <w:lang w:val="en-GB"/>
        </w:rPr>
        <w:t xml:space="preserve">sexual risk behaviours </w:t>
      </w:r>
      <w:r w:rsidR="003E6941">
        <w:rPr>
          <w:rFonts w:ascii="Times New Roman" w:hAnsi="Times New Roman" w:cs="Times New Roman"/>
          <w:lang w:val="en-GB"/>
        </w:rPr>
        <w:t xml:space="preserve">(SRB) </w:t>
      </w:r>
      <w:r w:rsidR="00E0396F">
        <w:rPr>
          <w:rFonts w:ascii="Times New Roman" w:hAnsi="Times New Roman" w:cs="Times New Roman"/>
          <w:lang w:val="en-GB"/>
        </w:rPr>
        <w:t>and transmission of STIs</w:t>
      </w:r>
      <w:r w:rsidR="004B3D02">
        <w:rPr>
          <w:rFonts w:ascii="Times New Roman" w:hAnsi="Times New Roman" w:cs="Times New Roman"/>
          <w:lang w:val="en-GB"/>
        </w:rPr>
        <w:t xml:space="preserve"> among MSM</w:t>
      </w:r>
      <w:r w:rsidR="00E0396F">
        <w:rPr>
          <w:rFonts w:ascii="Times New Roman" w:hAnsi="Times New Roman" w:cs="Times New Roman"/>
          <w:lang w:val="en-GB"/>
        </w:rPr>
        <w:t xml:space="preserve">. </w:t>
      </w:r>
      <w:r w:rsidR="00E0396F">
        <w:rPr>
          <w:rFonts w:ascii="Times New Roman" w:eastAsia="Times New Roman" w:hAnsi="Times New Roman" w:cs="Times New Roman"/>
          <w:lang w:val="en-GB"/>
        </w:rPr>
        <w:t>H</w:t>
      </w:r>
      <w:r w:rsidR="00E0396F" w:rsidRPr="00E0396F">
        <w:rPr>
          <w:rFonts w:ascii="Times New Roman" w:eastAsia="Times New Roman" w:hAnsi="Times New Roman" w:cs="Times New Roman"/>
          <w:lang w:val="en-GB"/>
        </w:rPr>
        <w:t xml:space="preserve">owever, inconsistent results point to uncertainties about the extent to which IH influences engagement in </w:t>
      </w:r>
      <w:r w:rsidR="003E6941">
        <w:rPr>
          <w:rFonts w:ascii="Times New Roman" w:eastAsia="Times New Roman" w:hAnsi="Times New Roman" w:cs="Times New Roman"/>
          <w:lang w:val="en-GB"/>
        </w:rPr>
        <w:t xml:space="preserve">SRB </w:t>
      </w:r>
      <w:r w:rsidR="00E0396F" w:rsidRPr="00E0396F">
        <w:rPr>
          <w:rFonts w:ascii="Times New Roman" w:eastAsia="Times New Roman" w:hAnsi="Times New Roman" w:cs="Times New Roman"/>
          <w:lang w:val="en-GB"/>
        </w:rPr>
        <w:fldChar w:fldCharType="begin"/>
      </w:r>
      <w:r w:rsidR="00E0396F">
        <w:rPr>
          <w:rFonts w:ascii="Times New Roman" w:eastAsia="Times New Roman" w:hAnsi="Times New Roman" w:cs="Times New Roman"/>
          <w:lang w:val="en-GB"/>
        </w:rPr>
        <w:instrText xml:space="preserve"> ADDIN ZOTERO_ITEM CSL_CITATION {"citationID":"VwxaWTJ3","properties":{"formattedCitation":"(Newcomb &amp; Mustanski, 2010a; Puckett et al., 2017a)","plainCitation":"(Newcomb &amp; Mustanski, 2010a; Puckett et al., 2017a)","noteIndex":0},"citationItems":[{"id":58,"uris":["http://zotero.org/users/5061103/items/W5GITNRE"],"uri":["http://zotero.org/users/5061103/items/W5GITNRE"],"itemData":{"id":58,"type":"article-journal","abstract":"Research on internalized homophobia (IH) has linked it to both mental and physical health outcomes. Extant research indicates that IH and mental health are related in a variety of different subgroups of lesbian, gay and bisexual (LGB) persons. However, much of this research has suffered from methodological issues. Studies have frequently substituted distress-related constructs (e.g., self-esteem and general well-being) for measures of internalizing mental health problems. Furthermore, many studies have misapplied measures of IH designed for gay men with lesbian samples. The current study used Hierarchical Linear Modeling to perform meta-analysis. Effect sizes were combined across multiple studies that used dimensional measures of internalizing mental health problems (i.e., depression and anxiety). The use of multilevel modeling techniques allowed for the evaluation of moderating effects on these relationships, including those of gender, year of data collection, mean age of the sample, publication type, and type of symptomatology measured. Thirty-one studies were meta-analyzed for the relationship between IH and mental health (N = 5831), revealing a small to moderate overall effect size for the relationship between the two variables. Higher levels of IH were associated with higher scores on dimensional measures of internalizing mental health problems. Signiﬁcant moderating effects were also found for mean age of the sample and the type of symptomatology measured in each study. The relationship between IH and internalizing mental health problems was stronger in studies with a higher mean age. The relationship between IH and depressive symptomatology was stronger than the relationship between IH and symptoms of anxiety. Limitations and future research directions are discussed as well as implications for clinical practice.","container-title":"Clinical Psychology Review","DOI":"10.1016/j.cpr.2010.07.003","ISSN":"02727358","issue":"8","language":"en","page":"1019-1029","source":"Crossref","title":"Internalized homophobia and internalizing mental health problems: A meta-analytic review","title-short":"Internalized homophobia and internalizing mental health problems","volume":"30","author":[{"family":"Newcomb","given":"Michael E."},{"family":"Mustanski","given":"Brian"}],"issued":{"date-parts":[["2010",12]]}}},{"id":751,"uris":["http://zotero.org/users/5061103/items/EHTUEG7C"],"uri":["http://zotero.org/users/5061103/items/EHTUEG7C"],"itemData":{"id":751,"type":"article-journal","abstract":"Background Internalized homophobia (IH) is the internalization of homophobic attitudes by sexual minorities due to social bias. IH has been inconsistently related to substance use and condomless sex for young men who have sex with men (YMSM).","container-title":"Annals of Behavioral Medicine","DOI":"10.1007/s12160-017-9878-0","ISSN":"0883-6612, 1532-4796","issue":"4","language":"en","page":"567-577","source":"Crossref","title":"Examining the Conditions Under Which Internalized Homophobia Is Associated with Substance Use and Condomless Sex in Young MSM: the Moderating Role of Impulsivity","title-short":"Examining the Conditions Under Which Internalized Homophobia Is Associated with Substance Use and Condomless Sex in Young MSM","volume":"51","author":[{"family":"Puckett","given":"Jae A."},{"family":"Newcomb","given":"Michael E."},{"family":"Garofalo","given":"Robert"},{"family":"Mustanski","given":"Brian"}],"issued":{"date-parts":[["2017",8]]}}}],"schema":"https://github.com/citation-style-language/schema/raw/master/csl-citation.json"} </w:instrText>
      </w:r>
      <w:r w:rsidR="00E0396F" w:rsidRPr="00E0396F">
        <w:rPr>
          <w:rFonts w:ascii="Times New Roman" w:eastAsia="Times New Roman" w:hAnsi="Times New Roman" w:cs="Times New Roman"/>
          <w:lang w:val="en-GB"/>
        </w:rPr>
        <w:fldChar w:fldCharType="separate"/>
      </w:r>
      <w:r w:rsidR="00E0396F">
        <w:rPr>
          <w:rFonts w:ascii="Times New Roman" w:eastAsia="Times New Roman" w:hAnsi="Times New Roman" w:cs="Times New Roman"/>
          <w:lang w:val="en-GB"/>
        </w:rPr>
        <w:t>(Newcomb &amp; Mustanski, 2010a; Puckett et al., 2017a)</w:t>
      </w:r>
      <w:r w:rsidR="00E0396F" w:rsidRPr="00E0396F">
        <w:rPr>
          <w:rFonts w:ascii="Times New Roman" w:eastAsia="Times New Roman" w:hAnsi="Times New Roman" w:cs="Times New Roman"/>
          <w:lang w:val="en-GB"/>
        </w:rPr>
        <w:fldChar w:fldCharType="end"/>
      </w:r>
      <w:r w:rsidR="00E0396F" w:rsidRPr="00E0396F">
        <w:rPr>
          <w:rFonts w:ascii="Times New Roman" w:eastAsia="Times New Roman" w:hAnsi="Times New Roman" w:cs="Times New Roman"/>
          <w:lang w:val="en-GB"/>
        </w:rPr>
        <w:t>.</w:t>
      </w:r>
      <w:r w:rsidR="00E0396F">
        <w:rPr>
          <w:rFonts w:ascii="Times New Roman" w:eastAsia="Times New Roman" w:hAnsi="Times New Roman" w:cs="Times New Roman"/>
          <w:lang w:val="en-GB"/>
        </w:rPr>
        <w:t xml:space="preserve"> </w:t>
      </w:r>
      <w:r w:rsidR="00660610">
        <w:rPr>
          <w:rFonts w:ascii="Times New Roman" w:eastAsia="Times New Roman" w:hAnsi="Times New Roman" w:cs="Times New Roman"/>
          <w:lang w:val="en-GB"/>
        </w:rPr>
        <w:t>While s</w:t>
      </w:r>
      <w:r w:rsidR="007E5C60" w:rsidRPr="00E0396F">
        <w:rPr>
          <w:rFonts w:ascii="Times New Roman" w:eastAsia="Times New Roman" w:hAnsi="Times New Roman" w:cs="Times New Roman"/>
          <w:lang w:val="en-GB"/>
        </w:rPr>
        <w:t xml:space="preserve">ome studies found that higher levels of IH </w:t>
      </w:r>
      <w:r w:rsidR="00BF5E21">
        <w:rPr>
          <w:rFonts w:ascii="Times New Roman" w:eastAsia="Times New Roman" w:hAnsi="Times New Roman" w:cs="Times New Roman"/>
          <w:lang w:val="en-GB"/>
        </w:rPr>
        <w:t>wa</w:t>
      </w:r>
      <w:r w:rsidR="005474C3" w:rsidRPr="00E0396F">
        <w:rPr>
          <w:rFonts w:ascii="Times New Roman" w:eastAsia="Times New Roman" w:hAnsi="Times New Roman" w:cs="Times New Roman"/>
          <w:lang w:val="en-GB"/>
        </w:rPr>
        <w:t xml:space="preserve">s associated with </w:t>
      </w:r>
      <w:r w:rsidR="00E0396F" w:rsidRPr="00E0396F">
        <w:rPr>
          <w:rFonts w:ascii="Times New Roman" w:eastAsia="Times New Roman" w:hAnsi="Times New Roman" w:cs="Times New Roman"/>
          <w:lang w:val="en-GB"/>
        </w:rPr>
        <w:t xml:space="preserve">more frequent </w:t>
      </w:r>
      <w:r w:rsidR="007E5C60" w:rsidRPr="00E0396F">
        <w:rPr>
          <w:rFonts w:ascii="Times New Roman" w:eastAsia="Times New Roman" w:hAnsi="Times New Roman" w:cs="Times New Roman"/>
          <w:lang w:val="en-GB"/>
        </w:rPr>
        <w:t xml:space="preserve">SRB </w:t>
      </w:r>
      <w:r w:rsidR="007E5C60" w:rsidRPr="00E0396F">
        <w:rPr>
          <w:rFonts w:ascii="Times New Roman" w:eastAsia="Times New Roman" w:hAnsi="Times New Roman" w:cs="Times New Roman"/>
          <w:lang w:val="en-GB"/>
        </w:rPr>
        <w:fldChar w:fldCharType="begin"/>
      </w:r>
      <w:r w:rsidR="004B0D9E" w:rsidRPr="00E0396F">
        <w:rPr>
          <w:rFonts w:ascii="Times New Roman" w:eastAsia="Times New Roman" w:hAnsi="Times New Roman" w:cs="Times New Roman"/>
          <w:lang w:val="en-GB"/>
        </w:rPr>
        <w:instrText xml:space="preserve"> ADDIN ZOTERO_ITEM CSL_CITATION {"citationID":"FboKXxVa","properties":{"formattedCitation":"(Folch et al., 2009; Newcomb &amp; Mustanski, 2010a; Puckett et al., 2017a)","plainCitation":"(Folch et al., 2009; Newcomb &amp; Mustanski, 2010a; Puckett et al., 2017a)","noteIndex":0},"citationItems":[{"id":577,"uris":["http://zotero.org/users/5061103/items/Q6WAJEME"],"uri":["http://zotero.org/users/5061103/items/Q6WAJEME"],"itemData":{"id":577,"type":"article-journal","container-title":"Eurosurveillance","DOI":"10.2807/ese.14.47.19415-en","ISSN":"1560-7917","issue":"47","language":"en","source":"Crossref","title":"Sexual risk behaviour and its determinants among men who have sex with men in Catalonia, Spain","URL":"http://www.eurosurveillance.org/content/10.2807/ese.14.47.19415-en","volume":"14","author":[{"family":"Folch","given":"C"},{"family":"Muñoz","given":"R"},{"family":"Zaragoza","given":"K"},{"family":"Casabona","given":"J"}],"accessed":{"date-parts":[["2020",9,4]]},"issued":{"date-parts":[["2009",11,26]]}}},{"id":58,"uris":["http://zotero.org/users/5061103/items/W5GITNRE"],"uri":["http://zotero.org/users/5061103/items/W5GITNRE"],"itemData":{"id":58,"type":"article-journal","abstract":"Research on internalized homophobia (IH) has linked it to both mental and physical health outcomes. Extant research indicates that IH and mental health are related in a variety of different subgroups of lesbian, gay and bisexual (LGB) persons. However, much of this research has suffered from methodological issues. Studies have frequently substituted distress-related constructs (e.g., self-esteem and general well-being) for measures of internalizing mental health problems. Furthermore, many studies have misapplied measures of IH designed for gay men with lesbian samples. The current study used Hierarchical Linear Modeling to perform meta-analysis. Effect sizes were combined across multiple studies that used dimensional measures of internalizing mental health problems (i.e., depression and anxiety). The use of multilevel modeling techniques allowed for the evaluation of moderating effects on these relationships, including those of gender, year of data collection, mean age of the sample, publication type, and type of symptomatology measured. Thirty-one studies were meta-analyzed for the relationship between IH and mental health (N = 5831), revealing a small to moderate overall effect size for the relationship between the two variables. Higher levels of IH were associated with higher scores on dimensional measures of internalizing mental health problems. Signiﬁcant moderating effects were also found for mean age of the sample and the type of symptomatology measured in each study. The relationship between IH and internalizing mental health problems was stronger in studies with a higher mean age. The relationship between IH and depressive symptomatology was stronger than the relationship between IH and symptoms of anxiety. Limitations and future research directions are discussed as well as implications for clinical practice.","container-title":"Clinical Psychology Review","DOI":"10.1016/j.cpr.2010.07.003","ISSN":"02727358","issue":"8","language":"en","page":"1019-1029","source":"Crossref","title":"Internalized homophobia and internalizing mental health problems: A meta-analytic review","title-short":"Internalized homophobia and internalizing mental health problems","volume":"30","author":[{"family":"Newcomb","given":"Michael E."},{"family":"Mustanski","given":"Brian"}],"issued":{"date-parts":[["2010",12]]}}},{"id":751,"uris":["http://zotero.org/users/5061103/items/EHTUEG7C"],"uri":["http://zotero.org/users/5061103/items/EHTUEG7C"],"itemData":{"id":751,"type":"article-journal","abstract":"Background Internalized homophobia (IH) is the internalization of homophobic attitudes by sexual minorities due to social bias. IH has been inconsistently related to substance use and condomless sex for young men who have sex with men (YMSM).","container-title":"Annals of Behavioral Medicine","DOI":"10.1007/s12160-017-9878-0","ISSN":"0883-6612, 1532-4796","issue":"4","language":"en","page":"567-577","source":"Crossref","title":"Examining the Conditions Under Which Internalized Homophobia Is Associated with Substance Use and Condomless Sex in Young MSM: the Moderating Role of Impulsivity","title-short":"Examining the Conditions Under Which Internalized Homophobia Is Associated with Substance Use and Condomless Sex in Young MSM","volume":"51","author":[{"family":"Puckett","given":"Jae A."},{"family":"Newcomb","given":"Michael E."},{"family":"Garofalo","given":"Robert"},{"family":"Mustanski","given":"Brian"}],"issued":{"date-parts":[["2017",8]]}}}],"schema":"https://github.com/citation-style-language/schema/raw/master/csl-citation.json"} </w:instrText>
      </w:r>
      <w:r w:rsidR="007E5C60" w:rsidRPr="00E0396F">
        <w:rPr>
          <w:rFonts w:ascii="Times New Roman" w:eastAsia="Times New Roman" w:hAnsi="Times New Roman" w:cs="Times New Roman"/>
          <w:lang w:val="en-GB"/>
        </w:rPr>
        <w:fldChar w:fldCharType="separate"/>
      </w:r>
      <w:r w:rsidR="004B0D9E" w:rsidRPr="00E0396F">
        <w:rPr>
          <w:rFonts w:ascii="Times New Roman" w:eastAsia="Times New Roman" w:hAnsi="Times New Roman" w:cs="Times New Roman"/>
          <w:lang w:val="en-GB"/>
        </w:rPr>
        <w:t>(Folch et al., 2009; Newcomb &amp; Mustanski, 2010a; Puckett et al., 2017a)</w:t>
      </w:r>
      <w:r w:rsidR="007E5C60" w:rsidRPr="00E0396F">
        <w:rPr>
          <w:rFonts w:ascii="Times New Roman" w:eastAsia="Times New Roman" w:hAnsi="Times New Roman" w:cs="Times New Roman"/>
          <w:lang w:val="en-GB"/>
        </w:rPr>
        <w:fldChar w:fldCharType="end"/>
      </w:r>
      <w:r w:rsidR="007E5C60" w:rsidRPr="00E0396F">
        <w:rPr>
          <w:rFonts w:ascii="Times New Roman" w:eastAsia="Times New Roman" w:hAnsi="Times New Roman" w:cs="Times New Roman"/>
          <w:lang w:val="en-GB"/>
        </w:rPr>
        <w:t xml:space="preserve">, </w:t>
      </w:r>
      <w:r w:rsidR="00660610">
        <w:rPr>
          <w:rFonts w:ascii="Times New Roman" w:eastAsia="Times New Roman" w:hAnsi="Times New Roman" w:cs="Times New Roman"/>
          <w:lang w:val="en-GB"/>
        </w:rPr>
        <w:t>other</w:t>
      </w:r>
      <w:r w:rsidR="007E5C60" w:rsidRPr="00E0396F">
        <w:rPr>
          <w:rFonts w:ascii="Times New Roman" w:eastAsia="Times New Roman" w:hAnsi="Times New Roman" w:cs="Times New Roman"/>
          <w:lang w:val="en-GB"/>
        </w:rPr>
        <w:t xml:space="preserve"> studies did not find evidence for </w:t>
      </w:r>
      <w:r w:rsidR="00F606B5">
        <w:rPr>
          <w:rFonts w:ascii="Times New Roman" w:eastAsia="Times New Roman" w:hAnsi="Times New Roman" w:cs="Times New Roman"/>
          <w:lang w:val="en-GB"/>
        </w:rPr>
        <w:t>a</w:t>
      </w:r>
      <w:r w:rsidR="00F606B5" w:rsidRPr="00E0396F">
        <w:rPr>
          <w:rFonts w:ascii="Times New Roman" w:eastAsia="Times New Roman" w:hAnsi="Times New Roman" w:cs="Times New Roman"/>
          <w:lang w:val="en-GB"/>
        </w:rPr>
        <w:t xml:space="preserve"> </w:t>
      </w:r>
      <w:r w:rsidR="007E5C60" w:rsidRPr="00E0396F">
        <w:rPr>
          <w:rFonts w:ascii="Times New Roman" w:eastAsia="Times New Roman" w:hAnsi="Times New Roman" w:cs="Times New Roman"/>
          <w:lang w:val="en-GB"/>
        </w:rPr>
        <w:t xml:space="preserve">direct relationship </w:t>
      </w:r>
      <w:r w:rsidR="007E5C60" w:rsidRPr="00E0396F">
        <w:rPr>
          <w:rFonts w:ascii="Times New Roman" w:eastAsia="Times New Roman" w:hAnsi="Times New Roman" w:cs="Times New Roman"/>
          <w:lang w:val="en-GB"/>
        </w:rPr>
        <w:fldChar w:fldCharType="begin"/>
      </w:r>
      <w:r w:rsidR="00E0396F">
        <w:rPr>
          <w:rFonts w:ascii="Times New Roman" w:eastAsia="Times New Roman" w:hAnsi="Times New Roman" w:cs="Times New Roman"/>
          <w:lang w:val="en-GB"/>
        </w:rPr>
        <w:instrText xml:space="preserve"> ADDIN ZOTERO_ITEM CSL_CITATION {"citationID":"3zhyEz1Y","properties":{"formattedCitation":"(Dawson et al., 2019; Dudley et al., 2004; Newcomb &amp; Mustanski, 2010a; Puckett et al., 2017a)","plainCitation":"(Dawson et al., 2019; Dudley et al., 2004; Newcomb &amp; Mustanski, 2010a; Puckett et al., 2017a)","noteIndex":0},"citationItems":[{"id":748,"uris":["http://zotero.org/users/5061103/items/7TCL3Y5R"],"uri":["http://zotero.org/users/5061103/items/7TCL3Y5R"],"itemData":{"id":748,"type":"article-journal","abstract":"Background Black men who have sex with men, who account for less than 1% of the U.S. population, account for approximately 25% of new HIV infections annually. Condomless anal sex contributes to HIV infection among black men who have sex with men. The capacity to recover quickly from difficulties (resilience) may be protective against condomless anal sex, but has been understudied among black men who have sex with men. Psychosocial factors related to resilience, i.e., condom use self-efficacy and internalized homophobia, may also affect condomless anal sex. We assessed the association between resilience, condom use self-efficacy, internalized homophobia and condomless anal sex among black men who have sex with men.","container-title":"PLOS ONE","DOI":"10.1371/journal.pone.0215455","ISSN":"1932-6203","issue":"4","language":"en","page":"e0215455","source":"Crossref","title":"Resilience, condom use self-efficacy, internalized homophobia, and condomless anal sex among black men who have sex with men, New York City","volume":"14","author":[{"family":"Dawson","given":"Erica L."},{"family":"Mendoza","given":"Maria C. B."},{"family":"Gaul","given":"Zaneta"},{"family":"Jeffries IV","given":"William L."},{"family":"Sutton","given":"Madeline Y."},{"family":"Wilson","given":"Patrick A."}],"editor":[{"family":"Tieu","given":"Hong-Van"}],"issued":{"date-parts":[["2019",4,24]]}}},{"id":16,"uris":["http://zotero.org/users/5061103/items/4MQQUJFR"],"uri":["http://zotero.org/users/5061103/items/4MQQUJFR"],"itemData":{"id":16,"type":"article-journal","container-title":"AIDS Education and Prevention","DOI":"10.1521/aeap.16.4.328.40397","issue":"4","language":"en","page":"328-40","source":"Zotero","title":"Correlates of High-Risk Sexual Behavior among Young Men Who Have Sex with Men","volume":"16","author":[{"family":"Dudley","given":"Michael G"},{"family":"Rostosky","given":"Sharon Scales"},{"family":"Korfhage","given":"Bethe A"},{"family":"Zimmerman","given":"Rick S"}],"issued":{"date-parts":[["2004"]]}}},{"id":58,"uris":["http://zotero.org/users/5061103/items/W5GITNRE"],"uri":["http://zotero.org/users/5061103/items/W5GITNRE"],"itemData":{"id":58,"type":"article-journal","abstract":"Research on internalized homophobia (IH) has linked it to both mental and physical health outcomes. Extant research indicates that IH and mental health are related in a variety of different subgroups of lesbian, gay and bisexual (LGB) persons. However, much of this research has suffered from methodological issues. Studies have frequently substituted distress-related constructs (e.g., self-esteem and general well-being) for measures of internalizing mental health problems. Furthermore, many studies have misapplied measures of IH designed for gay men with lesbian samples. The current study used Hierarchical Linear Modeling to perform meta-analysis. Effect sizes were combined across multiple studies that used dimensional measures of internalizing mental health problems (i.e., depression and anxiety). The use of multilevel modeling techniques allowed for the evaluation of moderating effects on these relationships, including those of gender, year of data collection, mean age of the sample, publication type, and type of symptomatology measured. Thirty-one studies were meta-analyzed for the relationship between IH and mental health (N = 5831), revealing a small to moderate overall effect size for the relationship between the two variables. Higher levels of IH were associated with higher scores on dimensional measures of internalizing mental health problems. Signiﬁcant moderating effects were also found for mean age of the sample and the type of symptomatology measured in each study. The relationship between IH and internalizing mental health problems was stronger in studies with a higher mean age. The relationship between IH and depressive symptomatology was stronger than the relationship between IH and symptoms of anxiety. Limitations and future research directions are discussed as well as implications for clinical practice.","container-title":"Clinical Psychology Review","DOI":"10.1016/j.cpr.2010.07.003","ISSN":"02727358","issue":"8","language":"en","page":"1019-1029","source":"Crossref","title":"Internalized homophobia and internalizing mental health problems: A meta-analytic review","title-short":"Internalized homophobia and internalizing mental health problems","volume":"30","author":[{"family":"Newcomb","given":"Michael E."},{"family":"Mustanski","given":"Brian"}],"issued":{"date-parts":[["2010",12]]}}},{"id":751,"uris":["http://zotero.org/users/5061103/items/EHTUEG7C"],"uri":["http://zotero.org/users/5061103/items/EHTUEG7C"],"itemData":{"id":751,"type":"article-journal","abstract":"Background Internalized homophobia (IH) is the internalization of homophobic attitudes by sexual minorities due to social bias. IH has been inconsistently related to substance use and condomless sex for young men who have sex with men (YMSM).","container-title":"Annals of Behavioral Medicine","DOI":"10.1007/s12160-017-9878-0","ISSN":"0883-6612, 1532-4796","issue":"4","language":"en","page":"567-577","source":"Crossref","title":"Examining the Conditions Under Which Internalized Homophobia Is Associated with Substance Use and Condomless Sex in Young MSM: the Moderating Role of Impulsivity","title-short":"Examining the Conditions Under Which Internalized Homophobia Is Associated with Substance Use and Condomless Sex in Young MSM","volume":"51","author":[{"family":"Puckett","given":"Jae A."},{"family":"Newcomb","given":"Michael E."},{"family":"Garofalo","given":"Robert"},{"family":"Mustanski","given":"Brian"}],"issued":{"date-parts":[["2017",8]]}}}],"schema":"https://github.com/citation-style-language/schema/raw/master/csl-citation.json"} </w:instrText>
      </w:r>
      <w:r w:rsidR="007E5C60" w:rsidRPr="00E0396F">
        <w:rPr>
          <w:rFonts w:ascii="Times New Roman" w:eastAsia="Times New Roman" w:hAnsi="Times New Roman" w:cs="Times New Roman"/>
          <w:lang w:val="en-GB"/>
        </w:rPr>
        <w:fldChar w:fldCharType="separate"/>
      </w:r>
      <w:r w:rsidR="00E0396F">
        <w:rPr>
          <w:rFonts w:ascii="Times New Roman" w:eastAsia="Times New Roman" w:hAnsi="Times New Roman" w:cs="Times New Roman"/>
          <w:lang w:val="en-GB"/>
        </w:rPr>
        <w:t>(Dawson et al., 2019; Dudley et al., 2004; Newcomb &amp; Mustanski, 2010a; Puckett et al., 2017a)</w:t>
      </w:r>
      <w:r w:rsidR="007E5C60" w:rsidRPr="00E0396F">
        <w:rPr>
          <w:rFonts w:ascii="Times New Roman" w:eastAsia="Times New Roman" w:hAnsi="Times New Roman" w:cs="Times New Roman"/>
          <w:lang w:val="en-GB"/>
        </w:rPr>
        <w:fldChar w:fldCharType="end"/>
      </w:r>
      <w:r w:rsidR="00E0396F">
        <w:rPr>
          <w:rFonts w:ascii="Times New Roman" w:eastAsia="Times New Roman" w:hAnsi="Times New Roman" w:cs="Times New Roman"/>
          <w:lang w:val="en-GB"/>
        </w:rPr>
        <w:t xml:space="preserve">. </w:t>
      </w:r>
    </w:p>
    <w:p w14:paraId="3176AF65" w14:textId="63BA919F" w:rsidR="00C742A0" w:rsidRDefault="002452FF">
      <w:pPr>
        <w:spacing w:line="276" w:lineRule="auto"/>
        <w:ind w:firstLine="720"/>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The inconsistent evidence regarding the relationship between IH and SRB can be partly explained with the existence of potential mediator variables </w:t>
      </w:r>
      <w:r>
        <w:rPr>
          <w:rFonts w:ascii="Times New Roman" w:eastAsia="Times New Roman" w:hAnsi="Times New Roman" w:cs="Times New Roman"/>
          <w:lang w:val="en-GB"/>
        </w:rPr>
        <w:fldChar w:fldCharType="begin"/>
      </w:r>
      <w:r>
        <w:rPr>
          <w:rFonts w:ascii="Times New Roman" w:eastAsia="Times New Roman" w:hAnsi="Times New Roman" w:cs="Times New Roman"/>
          <w:lang w:val="en-GB"/>
        </w:rPr>
        <w:instrText xml:space="preserve"> ADDIN ZOTERO_ITEM CSL_CITATION {"citationID":"K1Z2cjyc","properties":{"formattedCitation":"(Kashubeck-West &amp; Szymanski, 2008)","plainCitation":"(Kashubeck-West &amp; Szymanski, 2008)","noteIndex":0},"citationItems":[{"id":314,"uris":["http://zotero.org/users/5061103/items/BDZND88T"],"uri":["http://zotero.org/users/5061103/items/BDZND88T"],"itemData":{"id":314,"type":"article-journal","container-title":"The Counseling Psychologist","DOI":"10.1177/0011000007309633","ISSN":"0011-0000, 1552-3861","issue":"4","language":"en","page":"595-614","source":"Crossref","title":"Risky Sexual Behavior in Gay and Bisexual Men: Internalized Heterosexism, Sensation Seeking, and Substance Use","title-short":"Risky Sexual Behavior in Gay and Bisexual Men","volume":"36","author":[{"family":"Kashubeck-West","given":"Susan"},{"family":"Szymanski","given":"Dawn M."}],"issued":{"date-parts":[["2008",7]]}}}],"schema":"https://github.com/citation-style-language/schema/raw/master/csl-citation.json"} </w:instrText>
      </w:r>
      <w:r>
        <w:rPr>
          <w:rFonts w:ascii="Times New Roman" w:eastAsia="Times New Roman" w:hAnsi="Times New Roman" w:cs="Times New Roman"/>
          <w:lang w:val="en-GB"/>
        </w:rPr>
        <w:fldChar w:fldCharType="separate"/>
      </w:r>
      <w:r>
        <w:rPr>
          <w:rFonts w:ascii="Times New Roman" w:eastAsia="Times New Roman" w:hAnsi="Times New Roman" w:cs="Times New Roman"/>
          <w:noProof/>
          <w:lang w:val="en-GB"/>
        </w:rPr>
        <w:t>(Kashubeck-West &amp; Szymanski, 2008)</w:t>
      </w:r>
      <w:r>
        <w:rPr>
          <w:rFonts w:ascii="Times New Roman" w:eastAsia="Times New Roman" w:hAnsi="Times New Roman" w:cs="Times New Roman"/>
          <w:lang w:val="en-GB"/>
        </w:rPr>
        <w:fldChar w:fldCharType="end"/>
      </w:r>
      <w:r>
        <w:rPr>
          <w:rFonts w:ascii="Times New Roman" w:eastAsia="Times New Roman" w:hAnsi="Times New Roman" w:cs="Times New Roman"/>
          <w:lang w:val="en-GB"/>
        </w:rPr>
        <w:t xml:space="preserve">. </w:t>
      </w:r>
      <w:r w:rsidR="00D37C7A">
        <w:rPr>
          <w:rFonts w:ascii="Times New Roman" w:eastAsia="Times New Roman" w:hAnsi="Times New Roman" w:cs="Times New Roman"/>
          <w:lang w:val="en-GB"/>
        </w:rPr>
        <w:t>R</w:t>
      </w:r>
      <w:r w:rsidR="00956025">
        <w:rPr>
          <w:rFonts w:ascii="Times New Roman" w:eastAsia="Times New Roman" w:hAnsi="Times New Roman" w:cs="Times New Roman"/>
          <w:lang w:val="en-GB"/>
        </w:rPr>
        <w:t>esearchers explain that</w:t>
      </w:r>
      <w:r w:rsidR="008B3370">
        <w:rPr>
          <w:rFonts w:ascii="Times New Roman" w:eastAsia="Times New Roman" w:hAnsi="Times New Roman" w:cs="Times New Roman"/>
          <w:lang w:val="en-GB"/>
        </w:rPr>
        <w:t xml:space="preserve"> </w:t>
      </w:r>
      <w:r w:rsidR="00D37C7A">
        <w:rPr>
          <w:rFonts w:ascii="Times New Roman" w:eastAsia="Times New Roman" w:hAnsi="Times New Roman" w:cs="Times New Roman"/>
          <w:lang w:val="en-GB"/>
        </w:rPr>
        <w:t xml:space="preserve">in general, </w:t>
      </w:r>
      <w:r w:rsidR="008B3370" w:rsidRPr="00121A14">
        <w:rPr>
          <w:rFonts w:ascii="Times New Roman" w:eastAsia="Times New Roman" w:hAnsi="Times New Roman" w:cs="Times New Roman"/>
          <w:lang w:val="en-GB"/>
        </w:rPr>
        <w:t xml:space="preserve">transmission risk of STIs among MSM is mediated by multiple social and structural factors that influence </w:t>
      </w:r>
      <w:r w:rsidR="00D37C7A">
        <w:rPr>
          <w:rFonts w:ascii="Times New Roman" w:eastAsia="Times New Roman" w:hAnsi="Times New Roman" w:cs="Times New Roman"/>
          <w:lang w:val="en-GB"/>
        </w:rPr>
        <w:t>their</w:t>
      </w:r>
      <w:r w:rsidR="008B3370" w:rsidRPr="00121A14">
        <w:rPr>
          <w:rFonts w:ascii="Times New Roman" w:eastAsia="Times New Roman" w:hAnsi="Times New Roman" w:cs="Times New Roman"/>
          <w:lang w:val="en-GB"/>
        </w:rPr>
        <w:t xml:space="preserve"> sexual practices </w:t>
      </w:r>
      <w:r w:rsidR="008B3370" w:rsidRPr="00121A14">
        <w:rPr>
          <w:rFonts w:ascii="Times New Roman" w:eastAsia="Times New Roman" w:hAnsi="Times New Roman" w:cs="Times New Roman"/>
          <w:lang w:val="en-GB"/>
        </w:rPr>
        <w:fldChar w:fldCharType="begin"/>
      </w:r>
      <w:r w:rsidR="008B3370" w:rsidRPr="00121A14">
        <w:rPr>
          <w:rFonts w:ascii="Times New Roman" w:eastAsia="Times New Roman" w:hAnsi="Times New Roman" w:cs="Times New Roman"/>
          <w:lang w:val="en-GB"/>
        </w:rPr>
        <w:instrText xml:space="preserve"> ADDIN ZOTERO_ITEM CSL_CITATION {"citationID":"TZYTVchH","properties":{"formattedCitation":"(Baral et al., 2013)","plainCitation":"(Baral et al., 2013)","noteIndex":0},"citationItems":[{"id":64,"uris":["http://zotero.org/users/5061103/items/9JLYB3MP"],"uri":["http://zotero.org/users/5061103/items/9JLYB3MP"],"itemData":{"id":64,"type":"article-journal","abstract":"Background: Social and structural factors are now well accepted as determinants of HIV vulnerabilities. These factors are representative of social, economic, organizational and political inequities. Associated with an improved understanding of multiple levels of HIV risk has been the recognition of the need to implement multi-level HIV prevention strategies. Prevention sciences research and programming aiming to decrease HIV incidence requires epidemiologic studies to collect data on multiple levels of risk to inform combination HIV prevention packages. Discussion: Proximal individual-level risks, such as sharing injection devices and unprotected penile-vaginal or penile-anal sex, are necessary in mediating HIV acquisition and transmission. However, higher order social and structural-level risks can facilitate or reduce HIV transmission on population levels. Data characterizing these risks is often far more actionable than characterizing individual-level risks. We propose a modified social ecological model (MSEM) to help visualize multi-level domains of HIV infection risks and guide the development of epidemiologic HIV studies. Such a model may inform research in epidemiology and prevention sciences, particularly for key populations including men who have sex with men (MSM), people who inject drugs (PID), and sex workers. The MSEM builds on existing frameworks by examining multi-level risk contexts for HIV infection and situating individual HIV infection risks within wider network, community, and public policy contexts as well as epidemic stage. The utility of the MSEM is demonstrated with case studies of HIV risk among PID and MSM. Summary: The MSEM is a flexible model for guiding epidemiologic studies among key populations at risk for HIV in diverse sociocultural contexts. Successful HIV prevention strategies for key populations require effective integration of evidence-based biomedical, behavioral, and structural interventions. While the focus of epidemiologic studies has traditionally been on describing individual-level risk factors, the future necessitates comprehensive epidemiologic data characterizing multiple levels of HIV risk.","container-title":"BMC Public Health","DOI":"10.1186/1471-2458-13-482","ISSN":"1471-2458","issue":"1","language":"en","source":"Crossref","title":"Modified social ecological model: a tool to guide the assessment of the risks and risk contexts of HIV epidemics","title-short":"Modified social ecological model","URL":"http://bmcpublichealth.biomedcentral.com/articles/10.1186/1471-2458-13-482","volume":"13","author":[{"family":"Baral","given":"Stefan"},{"family":"Logie","given":"Carmen H"},{"family":"Grosso","given":"Ashley"},{"family":"Wirtz","given":"Andrea L"},{"family":"Beyrer","given":"Chris"}],"accessed":{"date-parts":[["2021",1,15]]},"issued":{"date-parts":[["2013",12]]}}}],"schema":"https://github.com/citation-style-language/schema/raw/master/csl-citation.json"} </w:instrText>
      </w:r>
      <w:r w:rsidR="008B3370" w:rsidRPr="00121A14">
        <w:rPr>
          <w:rFonts w:ascii="Times New Roman" w:eastAsia="Times New Roman" w:hAnsi="Times New Roman" w:cs="Times New Roman"/>
          <w:lang w:val="en-GB"/>
        </w:rPr>
        <w:fldChar w:fldCharType="separate"/>
      </w:r>
      <w:r w:rsidR="008B3370" w:rsidRPr="00121A14">
        <w:rPr>
          <w:rFonts w:ascii="Times New Roman" w:eastAsia="Times New Roman" w:hAnsi="Times New Roman" w:cs="Times New Roman"/>
          <w:lang w:val="en-GB"/>
        </w:rPr>
        <w:t>(Baral et al., 2013)</w:t>
      </w:r>
      <w:r w:rsidR="008B3370" w:rsidRPr="00121A14">
        <w:rPr>
          <w:rFonts w:ascii="Times New Roman" w:eastAsia="Times New Roman" w:hAnsi="Times New Roman" w:cs="Times New Roman"/>
          <w:lang w:val="en-GB"/>
        </w:rPr>
        <w:fldChar w:fldCharType="end"/>
      </w:r>
      <w:r w:rsidR="00D37C7A">
        <w:rPr>
          <w:rFonts w:ascii="Times New Roman" w:eastAsia="Times New Roman" w:hAnsi="Times New Roman" w:cs="Times New Roman"/>
          <w:lang w:val="en-GB"/>
        </w:rPr>
        <w:t>. These factors</w:t>
      </w:r>
      <w:r w:rsidR="008B3370" w:rsidRPr="00121A14">
        <w:rPr>
          <w:rFonts w:ascii="Times New Roman" w:eastAsia="Times New Roman" w:hAnsi="Times New Roman" w:cs="Times New Roman"/>
          <w:lang w:val="en-GB"/>
        </w:rPr>
        <w:t xml:space="preserve"> </w:t>
      </w:r>
      <w:r w:rsidR="00D37C7A" w:rsidRPr="00121A14">
        <w:rPr>
          <w:rFonts w:ascii="Times New Roman" w:eastAsia="Times New Roman" w:hAnsi="Times New Roman" w:cs="Times New Roman"/>
          <w:lang w:val="en-GB"/>
        </w:rPr>
        <w:t xml:space="preserve">jeopardise prevention efforts </w:t>
      </w:r>
      <w:r w:rsidR="00D37C7A">
        <w:rPr>
          <w:rFonts w:ascii="Times New Roman" w:eastAsia="Times New Roman" w:hAnsi="Times New Roman" w:cs="Times New Roman"/>
          <w:lang w:val="en-GB"/>
        </w:rPr>
        <w:t xml:space="preserve">by </w:t>
      </w:r>
      <w:r w:rsidR="008B3370" w:rsidRPr="00121A14">
        <w:rPr>
          <w:rFonts w:ascii="Times New Roman" w:eastAsia="Times New Roman" w:hAnsi="Times New Roman" w:cs="Times New Roman"/>
          <w:lang w:val="en-GB"/>
        </w:rPr>
        <w:t>limit</w:t>
      </w:r>
      <w:r w:rsidR="00D37C7A">
        <w:rPr>
          <w:rFonts w:ascii="Times New Roman" w:eastAsia="Times New Roman" w:hAnsi="Times New Roman" w:cs="Times New Roman"/>
          <w:lang w:val="en-GB"/>
        </w:rPr>
        <w:t>ing</w:t>
      </w:r>
      <w:r w:rsidR="008B3370" w:rsidRPr="00121A14">
        <w:rPr>
          <w:rFonts w:ascii="Times New Roman" w:eastAsia="Times New Roman" w:hAnsi="Times New Roman" w:cs="Times New Roman"/>
          <w:lang w:val="en-GB"/>
        </w:rPr>
        <w:t xml:space="preserve"> MSM’s options for accessing prevention services for HIV and other STIs </w:t>
      </w:r>
      <w:r w:rsidR="008B3370" w:rsidRPr="00121A14">
        <w:rPr>
          <w:rFonts w:ascii="Times New Roman" w:eastAsia="Times New Roman" w:hAnsi="Times New Roman" w:cs="Times New Roman"/>
          <w:lang w:val="en-GB"/>
        </w:rPr>
        <w:fldChar w:fldCharType="begin"/>
      </w:r>
      <w:r w:rsidR="008B3370" w:rsidRPr="00121A14">
        <w:rPr>
          <w:rFonts w:ascii="Times New Roman" w:eastAsia="Times New Roman" w:hAnsi="Times New Roman" w:cs="Times New Roman"/>
          <w:lang w:val="en-GB"/>
        </w:rPr>
        <w:instrText xml:space="preserve"> ADDIN ZOTERO_ITEM CSL_CITATION {"citationID":"015JGvWx","properties":{"formattedCitation":"(Andrinopoulos et al., 2015; Velter et al., 2015)","plainCitation":"(Andrinopoulos et al., 2015; Velter et al., 2015)","noteIndex":0},"citationItems":[{"id":63,"uris":["http://zotero.org/users/5061103/items/DQJCA6XV"],"uri":["http://zotero.org/users/5061103/items/DQJCA6XV"],"itemData":{"id":63,"type":"article-journal","container-title":"AIDS and Behavior","DOI":"10.1007/s10461-014-0813-0","ISSN":"1090-7165, 1573-3254","issue":"1","language":"en","page":"60-71","source":"Crossref","title":"Evidence of the Negative Effect of Sexual Minority Stigma on HIV Testing Among MSM and Transgender Women in San Salvador, El Salvador","volume":"19","author":[{"family":"Andrinopoulos","given":"Katherine"},{"family":"Hembling","given":"John"},{"family":"Guardado","given":"Maria Elena"},{"family":"Maria Hernández","given":"Flor","non-dropping-particle":"de"},{"family":"Nieto","given":"Ana Isabel"},{"family":"Melendez","given":"Giovanni"}],"issued":{"date-parts":[["2015",1]]}}},{"id":1,"uris":["http://zotero.org/users/5061103/items/UEH8UI2D"],"uri":["http://zotero.org/users/5061103/items/UEH8UI2D"],"itemData":{"id":1,"type":"article-journal","abstract":"Binary file ES_Abstracts_Final_ECDC.txt matches","container-title":"Eurosurveillance","DOI":"10.2807/1560-7917.ES2015.20.14.21090","ISSN":"1560-7917","issue":"14","language":"en","source":"DOI.org (Crossref)","title":"Sexual and prevention practices in men who have sex with men in the era of combination HIV prevention: results from the Presse Gays et Lesbiennes survey, France, 2011","title-short":"Sexual and prevention practices in men who have sex with men in the era of combination HIV prevention","URL":"https://www.eurosurveillance.org/content/10.2807/1560-7917.ES2015.20.14.21090","volume":"20","author":[{"family":"Velter","given":"A"},{"family":"Saboni","given":"L"},{"family":"Sommen","given":"C"},{"family":"Bernillon","given":"P"},{"family":"Bajos","given":"N"},{"family":"Semaille","given":"C"}],"accessed":{"date-parts":[["2021",5,18]]},"issued":{"date-parts":[["2015",4,9]]}}}],"schema":"https://github.com/citation-style-language/schema/raw/master/csl-citation.json"} </w:instrText>
      </w:r>
      <w:r w:rsidR="008B3370" w:rsidRPr="00121A14">
        <w:rPr>
          <w:rFonts w:ascii="Times New Roman" w:eastAsia="Times New Roman" w:hAnsi="Times New Roman" w:cs="Times New Roman"/>
          <w:lang w:val="en-GB"/>
        </w:rPr>
        <w:fldChar w:fldCharType="separate"/>
      </w:r>
      <w:r w:rsidR="008B3370" w:rsidRPr="00121A14">
        <w:rPr>
          <w:rFonts w:ascii="Times New Roman" w:eastAsia="Times New Roman" w:hAnsi="Times New Roman" w:cs="Times New Roman"/>
          <w:lang w:val="en-GB"/>
        </w:rPr>
        <w:t>(Andrinopoulos et al., 2015; Velter et al., 2015)</w:t>
      </w:r>
      <w:r w:rsidR="008B3370" w:rsidRPr="00121A14">
        <w:rPr>
          <w:rFonts w:ascii="Times New Roman" w:eastAsia="Times New Roman" w:hAnsi="Times New Roman" w:cs="Times New Roman"/>
          <w:lang w:val="en-GB"/>
        </w:rPr>
        <w:fldChar w:fldCharType="end"/>
      </w:r>
      <w:r w:rsidR="008B3370" w:rsidRPr="00121A14">
        <w:rPr>
          <w:rFonts w:ascii="Times New Roman" w:eastAsia="Times New Roman" w:hAnsi="Times New Roman" w:cs="Times New Roman"/>
          <w:lang w:val="en-GB"/>
        </w:rPr>
        <w:t>.</w:t>
      </w:r>
      <w:r w:rsidR="008B3370">
        <w:rPr>
          <w:rFonts w:ascii="Times New Roman" w:eastAsia="Times New Roman" w:hAnsi="Times New Roman" w:cs="Times New Roman"/>
          <w:lang w:val="en-GB"/>
        </w:rPr>
        <w:t xml:space="preserve"> </w:t>
      </w:r>
      <w:r w:rsidR="00956025">
        <w:rPr>
          <w:rFonts w:ascii="Times New Roman" w:eastAsia="Times New Roman" w:hAnsi="Times New Roman" w:cs="Times New Roman"/>
          <w:lang w:val="en-GB"/>
        </w:rPr>
        <w:t>Specifically</w:t>
      </w:r>
      <w:r w:rsidR="005A1DEB">
        <w:rPr>
          <w:rFonts w:ascii="Times New Roman" w:eastAsia="Times New Roman" w:hAnsi="Times New Roman" w:cs="Times New Roman"/>
          <w:lang w:val="en-GB"/>
        </w:rPr>
        <w:t>, h</w:t>
      </w:r>
      <w:r w:rsidR="00C742A0" w:rsidRPr="00724860">
        <w:rPr>
          <w:rFonts w:ascii="Times New Roman" w:eastAsia="Times New Roman" w:hAnsi="Times New Roman" w:cs="Times New Roman"/>
          <w:lang w:val="en-GB"/>
        </w:rPr>
        <w:t>igh</w:t>
      </w:r>
      <w:r w:rsidR="00D37C7A">
        <w:rPr>
          <w:rFonts w:ascii="Times New Roman" w:eastAsia="Times New Roman" w:hAnsi="Times New Roman" w:cs="Times New Roman"/>
          <w:lang w:val="en-GB"/>
        </w:rPr>
        <w:t>er</w:t>
      </w:r>
      <w:r w:rsidR="00C742A0" w:rsidRPr="00724860">
        <w:rPr>
          <w:rFonts w:ascii="Times New Roman" w:eastAsia="Times New Roman" w:hAnsi="Times New Roman" w:cs="Times New Roman"/>
          <w:lang w:val="en-GB"/>
        </w:rPr>
        <w:t xml:space="preserve"> level</w:t>
      </w:r>
      <w:r w:rsidR="00C742A0">
        <w:rPr>
          <w:rFonts w:ascii="Times New Roman" w:eastAsia="Times New Roman" w:hAnsi="Times New Roman" w:cs="Times New Roman"/>
          <w:lang w:val="en-GB"/>
        </w:rPr>
        <w:t>s</w:t>
      </w:r>
      <w:r w:rsidR="00C742A0" w:rsidRPr="00724860">
        <w:rPr>
          <w:rFonts w:ascii="Times New Roman" w:eastAsia="Times New Roman" w:hAnsi="Times New Roman" w:cs="Times New Roman"/>
          <w:lang w:val="en-GB"/>
        </w:rPr>
        <w:t xml:space="preserve"> of IH </w:t>
      </w:r>
      <w:r w:rsidR="00D37C7A">
        <w:rPr>
          <w:rFonts w:ascii="Times New Roman" w:eastAsia="Times New Roman" w:hAnsi="Times New Roman" w:cs="Times New Roman"/>
          <w:lang w:val="en-GB"/>
        </w:rPr>
        <w:t>seem to</w:t>
      </w:r>
      <w:r w:rsidR="00D37C7A" w:rsidRPr="00724860">
        <w:rPr>
          <w:rFonts w:ascii="Times New Roman" w:eastAsia="Times New Roman" w:hAnsi="Times New Roman" w:cs="Times New Roman"/>
          <w:lang w:val="en-GB"/>
        </w:rPr>
        <w:t xml:space="preserve"> </w:t>
      </w:r>
      <w:r w:rsidR="00C742A0" w:rsidRPr="00724860">
        <w:rPr>
          <w:rFonts w:ascii="Times New Roman" w:eastAsia="Times New Roman" w:hAnsi="Times New Roman" w:cs="Times New Roman"/>
          <w:lang w:val="en-GB"/>
        </w:rPr>
        <w:t xml:space="preserve">hinder </w:t>
      </w:r>
      <w:r w:rsidR="008B3370">
        <w:rPr>
          <w:rFonts w:ascii="Times New Roman" w:eastAsia="Times New Roman" w:hAnsi="Times New Roman" w:cs="Times New Roman"/>
          <w:lang w:val="en-GB"/>
        </w:rPr>
        <w:t xml:space="preserve">their </w:t>
      </w:r>
      <w:r w:rsidR="00C742A0" w:rsidRPr="00724860">
        <w:rPr>
          <w:rFonts w:ascii="Times New Roman" w:eastAsia="Times New Roman" w:hAnsi="Times New Roman" w:cs="Times New Roman"/>
          <w:lang w:val="en-GB"/>
        </w:rPr>
        <w:t xml:space="preserve">connection to the gay community </w:t>
      </w:r>
      <w:r w:rsidR="00C742A0">
        <w:rPr>
          <w:rFonts w:ascii="Times New Roman" w:eastAsia="Times New Roman" w:hAnsi="Times New Roman" w:cs="Times New Roman"/>
          <w:lang w:val="en-GB"/>
        </w:rPr>
        <w:fldChar w:fldCharType="begin"/>
      </w:r>
      <w:r w:rsidR="00C742A0">
        <w:rPr>
          <w:rFonts w:ascii="Times New Roman" w:eastAsia="Times New Roman" w:hAnsi="Times New Roman" w:cs="Times New Roman"/>
          <w:lang w:val="en-GB"/>
        </w:rPr>
        <w:instrText xml:space="preserve"> ADDIN ZOTERO_ITEM CSL_CITATION {"citationID":"qUIjV9fY","properties":{"formattedCitation":"(Goldbach et al., 2015; Moody et al., 2018)","plainCitation":"(Goldbach et al., 2015; Moody et al., 2018)","noteIndex":0},"citationItems":[{"id":1555,"uris":["http://zotero.org/users/5061103/items/3PZKCWBZ"],"uri":["http://zotero.org/users/5061103/items/3PZKCWBZ"],"itemData":{"id":1555,"type":"article-journal","abstract":"Previous research indicates that lesbian, gay, and bisexual (LGB) adolescents are at increased risk for substance use, including heightened rates of marijuana use. Minority stress theory suggests that difﬁcult social situations create a state of chronic stress that leads to poor health outcomes for LGB adults; however, the applicability of this model has not been well explored in relation to substance use among LGB adolescents. The current study is a secondary analysis of the OutProud survey, conducted in 2000. The original study used purposive sampling to collect data from 1,911 LGB adolescents (age 12–17) across the United States, and represents the largest known study to explore experiences speciﬁc to identifying as LGB, such as homophobia and gay-related victimization. We used structural equation modeling (SEM) to explore the feasibility of applying a minority stress framework to understand marijuana use in this population. The ﬁnal structural model for marijuana use in the LGB adolescent sample displayed excellent ﬁt and modest explanatory power for marijuana use. Two of the ﬁve factors, community connectedness and internalized homophobia, were signiﬁcantly (p &lt; .05) associated with marijuana use. Findings suggest that minority stress theory may be appropriately applied to marijuana use in this population; however, better measurement of minority stress concepts for LGB adolescents is needed.","container-title":"Substance Use &amp; Misuse","DOI":"10.3109/10826084.2014.980958","ISSN":"1082-6084, 1532-2491","issue":"3","journalAbbreviation":"Substance Use &amp; Misuse","language":"en","page":"366-375","source":"DOI.org (Crossref)","title":"The Application of Minority Stress Theory to Marijuana Use Among Sexual Minority Adolescents","volume":"50","author":[{"family":"Goldbach","given":"Jeremy T."},{"family":"Schrager","given":"Sheree M."},{"family":"Dunlap","given":"Shannon L."},{"family":"Holloway","given":"Ian W."}],"issued":{"date-parts":[["2015",2,23]]}}},{"id":10,"uris":["http://zotero.org/users/5061103/items/SDKBIWWS"],"uri":["http://zotero.org/users/5061103/items/SDKBIWWS"],"itemData":{"id":10,"type":"article-journal","container-title":"Archives of Sexual Behavior","DOI":"10.1007/s10508-017-1009-2","ISSN":"0004-0002, 1573-2800","issue":"4","journalAbbreviation":"Arch Sex Behav","language":"en","page":"1133-1144","source":"DOI.org (Crossref)","title":"Internalized Homophobia and Drug Use in a National Cohort of Gay and Bisexual Men: Examining Depression, Sexual Anxiety, and Gay Community Attachment as Mediating Factors","title-short":"Internalized Homophobia and Drug Use in a National Cohort of Gay and Bisexual Men","volume":"47","author":[{"family":"Moody","given":"Raymond L."},{"family":"Starks","given":"Tyrel J."},{"family":"Grov","given":"Christian"},{"family":"Parsons","given":"Jeffrey T."}],"issued":{"date-parts":[["2018",5]]}}}],"schema":"https://github.com/citation-style-language/schema/raw/master/csl-citation.json"} </w:instrText>
      </w:r>
      <w:r w:rsidR="00C742A0">
        <w:rPr>
          <w:rFonts w:ascii="Times New Roman" w:eastAsia="Times New Roman" w:hAnsi="Times New Roman" w:cs="Times New Roman"/>
          <w:lang w:val="en-GB"/>
        </w:rPr>
        <w:fldChar w:fldCharType="separate"/>
      </w:r>
      <w:r w:rsidR="00C742A0">
        <w:rPr>
          <w:rFonts w:ascii="Times New Roman" w:eastAsia="Times New Roman" w:hAnsi="Times New Roman" w:cs="Times New Roman"/>
          <w:noProof/>
          <w:lang w:val="en-GB"/>
        </w:rPr>
        <w:t>(Goldbach et al., 2015; Moody et al., 2018)</w:t>
      </w:r>
      <w:r w:rsidR="00C742A0">
        <w:rPr>
          <w:rFonts w:ascii="Times New Roman" w:eastAsia="Times New Roman" w:hAnsi="Times New Roman" w:cs="Times New Roman"/>
          <w:lang w:val="en-GB"/>
        </w:rPr>
        <w:fldChar w:fldCharType="end"/>
      </w:r>
      <w:r w:rsidR="008B3370">
        <w:rPr>
          <w:rFonts w:ascii="Times New Roman" w:eastAsia="Times New Roman" w:hAnsi="Times New Roman" w:cs="Times New Roman"/>
          <w:lang w:val="en-GB"/>
        </w:rPr>
        <w:t>, thus,</w:t>
      </w:r>
      <w:r w:rsidR="00C742A0">
        <w:rPr>
          <w:rFonts w:ascii="Times New Roman" w:eastAsia="Times New Roman" w:hAnsi="Times New Roman" w:cs="Times New Roman"/>
          <w:lang w:val="en-GB"/>
        </w:rPr>
        <w:t xml:space="preserve"> </w:t>
      </w:r>
      <w:r w:rsidR="008B3370">
        <w:rPr>
          <w:rFonts w:ascii="Times New Roman" w:eastAsia="Times New Roman" w:hAnsi="Times New Roman" w:cs="Times New Roman"/>
          <w:lang w:val="en-GB"/>
        </w:rPr>
        <w:t xml:space="preserve">they may also miss information </w:t>
      </w:r>
      <w:r w:rsidR="00C742A0" w:rsidRPr="00724860">
        <w:rPr>
          <w:rFonts w:ascii="Times New Roman" w:eastAsia="Times New Roman" w:hAnsi="Times New Roman" w:cs="Times New Roman"/>
          <w:lang w:val="en-GB"/>
        </w:rPr>
        <w:t>about HIV prevention and risk reduction programs</w:t>
      </w:r>
      <w:r w:rsidR="00C742A0">
        <w:rPr>
          <w:rFonts w:ascii="Times New Roman" w:eastAsia="Times New Roman" w:hAnsi="Times New Roman" w:cs="Times New Roman"/>
          <w:lang w:val="en-GB"/>
        </w:rPr>
        <w:t xml:space="preserve"> </w:t>
      </w:r>
      <w:r w:rsidR="00C742A0">
        <w:rPr>
          <w:rFonts w:ascii="Times New Roman" w:eastAsia="Times New Roman" w:hAnsi="Times New Roman" w:cs="Times New Roman"/>
          <w:lang w:val="en-GB"/>
        </w:rPr>
        <w:fldChar w:fldCharType="begin"/>
      </w:r>
      <w:r w:rsidR="00C742A0">
        <w:rPr>
          <w:rFonts w:ascii="Times New Roman" w:eastAsia="Times New Roman" w:hAnsi="Times New Roman" w:cs="Times New Roman"/>
          <w:lang w:val="en-GB"/>
        </w:rPr>
        <w:instrText xml:space="preserve"> ADDIN ZOTERO_ITEM CSL_CITATION {"citationID":"uQ7TOmqR","properties":{"formattedCitation":"(Williamson, 2000)","plainCitation":"(Williamson, 2000)","noteIndex":0},"citationItems":[{"id":556,"uris":["http://zotero.org/users/5061103/items/JJU2YZJV"],"uri":["http://zotero.org/users/5061103/items/JJU2YZJV"],"itemData":{"id":556,"type":"article-journal","abstract":"This paper investigates the concept of internalized homophobia in both theory and research relating to lesbian and gay health. It offers a contemporary and critical review of research in this area, and discusses a range of recent ﬁndings relating to a range of health issues including HIV and AIDS. Whilst the concept has a resonance for gay men and lesbians, and is widely used in ‘lesbian and gay-afﬁrmative’ interventions, the paper demonstrates that research ﬁndings have been equivocal and the term is often used without full consideration of its sociopolitical consequences. The paper concludes that the concept does have a valuable role to play in health promotion work with lesbians and gay men but invites further discussion and examination of the construct.","container-title":"Health Education Research","DOI":"10.1093/her/15.1.97","ISSN":"14653648","issue":"1","language":"en","page":"97-107","source":"Crossref","title":"Internalized homophobia and health issues affecting lesbians and gay men","volume":"15","author":[{"family":"Williamson","given":"I. R."}],"issued":{"date-parts":[["2000",2,1]]}}}],"schema":"https://github.com/citation-style-language/schema/raw/master/csl-citation.json"} </w:instrText>
      </w:r>
      <w:r w:rsidR="00C742A0">
        <w:rPr>
          <w:rFonts w:ascii="Times New Roman" w:eastAsia="Times New Roman" w:hAnsi="Times New Roman" w:cs="Times New Roman"/>
          <w:lang w:val="en-GB"/>
        </w:rPr>
        <w:fldChar w:fldCharType="separate"/>
      </w:r>
      <w:r w:rsidR="00C742A0">
        <w:rPr>
          <w:rFonts w:ascii="Times New Roman" w:eastAsia="Times New Roman" w:hAnsi="Times New Roman" w:cs="Times New Roman"/>
          <w:noProof/>
          <w:lang w:val="en-GB"/>
        </w:rPr>
        <w:t>(Williamson, 2000)</w:t>
      </w:r>
      <w:r w:rsidR="00C742A0">
        <w:rPr>
          <w:rFonts w:ascii="Times New Roman" w:eastAsia="Times New Roman" w:hAnsi="Times New Roman" w:cs="Times New Roman"/>
          <w:lang w:val="en-GB"/>
        </w:rPr>
        <w:fldChar w:fldCharType="end"/>
      </w:r>
      <w:r w:rsidR="00C742A0">
        <w:rPr>
          <w:rFonts w:ascii="Times New Roman" w:eastAsia="Times New Roman" w:hAnsi="Times New Roman" w:cs="Times New Roman"/>
          <w:lang w:val="en-GB"/>
        </w:rPr>
        <w:t>.</w:t>
      </w:r>
      <w:r w:rsidR="006C1441">
        <w:rPr>
          <w:rFonts w:ascii="Times New Roman" w:eastAsia="Times New Roman" w:hAnsi="Times New Roman" w:cs="Times New Roman"/>
          <w:lang w:val="en-GB"/>
        </w:rPr>
        <w:t xml:space="preserve"> </w:t>
      </w:r>
      <w:r w:rsidR="005A1DEB">
        <w:rPr>
          <w:rFonts w:ascii="Times New Roman" w:eastAsia="Times New Roman" w:hAnsi="Times New Roman" w:cs="Times New Roman"/>
          <w:lang w:val="en-GB"/>
        </w:rPr>
        <w:t>Similarly,</w:t>
      </w:r>
      <w:r w:rsidR="00D35214">
        <w:rPr>
          <w:rFonts w:ascii="Times New Roman" w:eastAsia="Times New Roman" w:hAnsi="Times New Roman" w:cs="Times New Roman"/>
          <w:lang w:val="en-GB"/>
        </w:rPr>
        <w:t xml:space="preserve"> high</w:t>
      </w:r>
      <w:r w:rsidR="00D37C7A">
        <w:rPr>
          <w:rFonts w:ascii="Times New Roman" w:eastAsia="Times New Roman" w:hAnsi="Times New Roman" w:cs="Times New Roman"/>
          <w:lang w:val="en-GB"/>
        </w:rPr>
        <w:t>er</w:t>
      </w:r>
      <w:r w:rsidR="005A1DEB">
        <w:rPr>
          <w:rFonts w:ascii="Times New Roman" w:eastAsia="Times New Roman" w:hAnsi="Times New Roman" w:cs="Times New Roman"/>
          <w:lang w:val="en-GB"/>
        </w:rPr>
        <w:t xml:space="preserve"> </w:t>
      </w:r>
      <w:r w:rsidR="008B3370">
        <w:rPr>
          <w:rFonts w:ascii="Times New Roman" w:eastAsia="Times New Roman" w:hAnsi="Times New Roman" w:cs="Times New Roman"/>
          <w:lang w:val="en-GB"/>
        </w:rPr>
        <w:t xml:space="preserve">levels of </w:t>
      </w:r>
      <w:r w:rsidR="006A1980">
        <w:rPr>
          <w:rFonts w:ascii="Times New Roman" w:eastAsia="Times New Roman" w:hAnsi="Times New Roman" w:cs="Times New Roman"/>
          <w:lang w:val="en-GB"/>
        </w:rPr>
        <w:t xml:space="preserve">IH </w:t>
      </w:r>
      <w:r w:rsidR="00D37C7A">
        <w:rPr>
          <w:rFonts w:ascii="Times New Roman" w:eastAsia="Times New Roman" w:hAnsi="Times New Roman" w:cs="Times New Roman"/>
          <w:lang w:val="en-GB"/>
        </w:rPr>
        <w:t xml:space="preserve">was found to be </w:t>
      </w:r>
      <w:r w:rsidR="006A1980">
        <w:rPr>
          <w:rFonts w:ascii="Times New Roman" w:eastAsia="Times New Roman" w:hAnsi="Times New Roman" w:cs="Times New Roman"/>
          <w:lang w:val="en-GB"/>
        </w:rPr>
        <w:t>associated with higher prevalence of drug use</w:t>
      </w:r>
      <w:r w:rsidR="001F44C3">
        <w:rPr>
          <w:rFonts w:ascii="Times New Roman" w:eastAsia="Times New Roman" w:hAnsi="Times New Roman" w:cs="Times New Roman"/>
          <w:lang w:val="en-GB"/>
        </w:rPr>
        <w:t xml:space="preserve"> </w:t>
      </w:r>
      <w:r w:rsidR="001F44C3">
        <w:rPr>
          <w:rFonts w:ascii="Times New Roman" w:eastAsia="Times New Roman" w:hAnsi="Times New Roman" w:cs="Times New Roman"/>
          <w:lang w:val="en-GB"/>
        </w:rPr>
        <w:fldChar w:fldCharType="begin"/>
      </w:r>
      <w:r w:rsidR="0030050E">
        <w:rPr>
          <w:rFonts w:ascii="Times New Roman" w:eastAsia="Times New Roman" w:hAnsi="Times New Roman" w:cs="Times New Roman"/>
          <w:lang w:val="en-GB"/>
        </w:rPr>
        <w:instrText xml:space="preserve"> ADDIN ZOTERO_ITEM CSL_CITATION {"citationID":"P719x5WI","properties":{"formattedCitation":"(Moody et al., 2018; Puckett et al., 2017a; Sewell et al., 2017)","plainCitation":"(Moody et al., 2018; Puckett et al., 2017a; Sewell et al., 2017)","noteIndex":0},"citationItems":[{"id":10,"uris":["http://zotero.org/users/5061103/items/SDKBIWWS"],"uri":["http://zotero.org/users/5061103/items/SDKBIWWS"],"itemData":{"id":10,"type":"article-journal","container-title":"Archives of Sexual Behavior","DOI":"10.1007/s10508-017-1009-2","ISSN":"0004-0002, 1573-2800","issue":"4","journalAbbreviation":"Arch Sex Behav","language":"en","page":"1133-1144","source":"DOI.org (Crossref)","title":"Internalized Homophobia and Drug Use in a National Cohort of Gay and Bisexual Men: Examining Depression, Sexual Anxiety, and Gay Community Attachment as Mediating Factors","title-short":"Internalized Homophobia and Drug Use in a National Cohort of Gay and Bisexual Men","volume":"47","author":[{"family":"Moody","given":"Raymond L."},{"family":"Starks","given":"Tyrel J."},{"family":"Grov","given":"Christian"},{"family":"Parsons","given":"Jeffrey T."}],"issued":{"date-parts":[["2018",5]]}}},{"id":751,"uris":["http://zotero.org/users/5061103/items/EHTUEG7C"],"uri":["http://zotero.org/users/5061103/items/EHTUEG7C"],"itemData":{"id":751,"type":"article-journal","abstract":"Background Internalized homophobia (IH) is the internalization of homophobic attitudes by sexual minorities due to social bias. IH has been inconsistently related to substance use and condomless sex for young men who have sex with men (YMSM).","container-title":"Annals of Behavioral Medicine","DOI":"10.1007/s12160-017-9878-0","ISSN":"0883-6612, 1532-4796","issue":"4","language":"en","page":"567-577","source":"Crossref","title":"Examining the Conditions Under Which Internalized Homophobia Is Associated with Substance Use and Condomless Sex in Young MSM: the Moderating Role of Impulsivity","title-short":"Examining the Conditions Under Which Internalized Homophobia Is Associated with Substance Use and Condomless Sex in Young MSM","volume":"51","author":[{"family":"Puckett","given":"Jae A."},{"family":"Newcomb","given":"Michael E."},{"family":"Garofalo","given":"Robert"},{"family":"Mustanski","given":"Brian"}],"issued":{"date-parts":[["2017",8]]}}},{"id":1682,"uris":["http://zotero.org/users/5061103/items/UXI5CB5N"],"uri":["http://zotero.org/users/5061103/items/UXI5CB5N"],"itemData":{"id":1682,"type":"article-journal","abstract":"Background: Recreational drug use and associated harms continue to be of signiﬁcant concern in men who have sex with men (MSM) particularly in the context of HIV and STI transmission.\nMethods: Data from 1484 HIV-negative or undiagnosed MSM included in the AURAH study, a crosssectional, self-completed questionnaire study of 2630 individuals from 20 sexual health clinics in the United Kingdom in 2013–2014, was analysed. Two measures of recreational drug use in the previous three months were deﬁned; (i) polydrug use (use of 3 or more recreational drugs) and (ii) chemsex drug use (use of mephedrone, crystal methamphetamine or GHB/GBL). Associations of socio-demographic, health and lifestyle factors with drug use, and associations of drug use with sexual behaviour, were investigated.\nResults: Of the 1484 MSM, 350 (23.6%) reported polydrug use and 324 (21.8%) reported chemsex drug use in the past three months. Overall 852 (57.5%) men reported condomless sex in the past three months; 430 (29.0%) had CLS with  2 partners, 474 (31.9%) had CLS with unknown/HIV+ partner(s); 187 (12.6%) had receptive CLS with an unknown status partner. For polydrug use, prevalence ratios (95% conﬁdence interval) for association with CLS measures, adjusted for socio-demographic factors were: 1.38 (1.26, 1.51) for CLS; 2.11 (1.80, 2.47) for CLS with  2 partners; 1.89 (1.63, 2.19) for CLS with unknown/HIV+ partner(s); 1.36 (1.00, 1.83) for receptive CLS with an unknown status partner. Corresponding adjusted prevalence ratios for chemsex drug use were: 1.38 (1.26, 1.52); 2.07 (1.76, 2.43); 1.88 (1.62, 2.19); 1.49 (1.10, 2.02). Polydrug and chemsex drug use were also strongly associated with previous STI, PEP use, group sex and high num</w:instrText>
      </w:r>
      <w:r w:rsidR="0030050E" w:rsidRPr="006C1441">
        <w:rPr>
          <w:rFonts w:ascii="Times New Roman" w:eastAsia="Times New Roman" w:hAnsi="Times New Roman" w:cs="Times New Roman"/>
        </w:rPr>
        <w:instrText>ber of new sexual partners. Associations remained with little atte</w:instrText>
      </w:r>
      <w:r w:rsidR="0030050E" w:rsidRPr="006C1441">
        <w:rPr>
          <w:rFonts w:ascii="Times New Roman" w:eastAsia="Times New Roman" w:hAnsi="Times New Roman" w:cs="Times New Roman"/>
          <w:lang w:val="nb-NO"/>
        </w:rPr>
        <w:instrText xml:space="preserve">nuation after further adjustment for depressive symptoms and alcohol intake.\nConclusion: There was a high prevalence of polydrug use and chemsex drug use among HIV negative MSM attending UK sexual health clinics. Drug use was strongly associated with sexual behaviours linked to risk of acquisition of STIs and HIV.","container-title":"International Journal of Drug Policy","DOI":"10.1016/j.drugpo.2017.01.001","ISSN":"09553959","journalAbbreviation":"International Journal of Drug Policy","language":"en","page":"33-43","source":"DOI.org (Crossref)","title":"Poly drug use, chemsex drug use, and associations with sexual risk behaviour in HIV-negative men who have sex with men attending sexual health clinics","volume":"43","author":[{"family":"Sewell","given":"Janey"},{"family":"Miltz","given":"Ada"},{"family":"Lampe","given":"Fiona C."},{"family":"Cambiano","given":"Valentina"},{"family":"Speakman","given":"Andrew"},{"family":"Phillips","given":"Andrew N."},{"family":"Stuart","given":"David"},{"family":"Gilson","given":"Richard"},{"family":"Asboe","given":"David"},{"family":"Nwokolo","given":"Nneka"},{"family":"Clarke","given":"Amanda"},{"family":"Collins","given":"Simon"},{"family":"Hart","given":"Graham"},{"family":"Elford","given":"Jonathan"},{"family":"Rodger","given":"Alison J."}],"issued":{"date-parts":[["2017",5]]}}}],"schema":"https://github.com/citation-style-language/schema/raw/master/csl-citation.json"} </w:instrText>
      </w:r>
      <w:r w:rsidR="001F44C3">
        <w:rPr>
          <w:rFonts w:ascii="Times New Roman" w:eastAsia="Times New Roman" w:hAnsi="Times New Roman" w:cs="Times New Roman"/>
          <w:lang w:val="en-GB"/>
        </w:rPr>
        <w:fldChar w:fldCharType="separate"/>
      </w:r>
      <w:r w:rsidR="0030050E" w:rsidRPr="006C1441">
        <w:rPr>
          <w:rFonts w:ascii="Times New Roman" w:eastAsia="Times New Roman" w:hAnsi="Times New Roman" w:cs="Times New Roman"/>
          <w:noProof/>
          <w:lang w:val="nb-NO"/>
        </w:rPr>
        <w:t>(Moody et al., 2018; Puckett et al., 2017a; Sewell et al., 2017)</w:t>
      </w:r>
      <w:r w:rsidR="001F44C3">
        <w:rPr>
          <w:rFonts w:ascii="Times New Roman" w:eastAsia="Times New Roman" w:hAnsi="Times New Roman" w:cs="Times New Roman"/>
          <w:lang w:val="en-GB"/>
        </w:rPr>
        <w:fldChar w:fldCharType="end"/>
      </w:r>
      <w:r w:rsidR="00BF5E21">
        <w:rPr>
          <w:rFonts w:ascii="Times New Roman" w:eastAsia="Times New Roman" w:hAnsi="Times New Roman" w:cs="Times New Roman"/>
          <w:lang w:val="en-GB"/>
        </w:rPr>
        <w:t>. I</w:t>
      </w:r>
      <w:r w:rsidR="006C1441">
        <w:rPr>
          <w:rFonts w:ascii="Times New Roman" w:eastAsia="Times New Roman" w:hAnsi="Times New Roman" w:cs="Times New Roman"/>
          <w:lang w:val="en-GB"/>
        </w:rPr>
        <w:t>n</w:t>
      </w:r>
      <w:r w:rsidR="008B3370">
        <w:rPr>
          <w:rFonts w:ascii="Times New Roman" w:eastAsia="Times New Roman" w:hAnsi="Times New Roman" w:cs="Times New Roman"/>
          <w:lang w:val="en-GB"/>
        </w:rPr>
        <w:t xml:space="preserve"> turn, hi</w:t>
      </w:r>
      <w:r w:rsidR="001F44C3" w:rsidRPr="001F44C3">
        <w:rPr>
          <w:rFonts w:ascii="Times New Roman" w:eastAsia="Times New Roman" w:hAnsi="Times New Roman" w:cs="Times New Roman"/>
          <w:lang w:val="en-GB"/>
        </w:rPr>
        <w:t>gher prevalence of drug use consumption was associated with a higher prevalence of condomless anal sex or sex with multiple partners</w:t>
      </w:r>
      <w:r w:rsidR="00D37C7A">
        <w:rPr>
          <w:rFonts w:ascii="Times New Roman" w:eastAsia="Times New Roman" w:hAnsi="Times New Roman" w:cs="Times New Roman"/>
          <w:lang w:val="en-GB"/>
        </w:rPr>
        <w:t xml:space="preserve"> in Spain</w:t>
      </w:r>
      <w:r w:rsidR="001F44C3">
        <w:rPr>
          <w:rFonts w:ascii="Times New Roman" w:eastAsia="Times New Roman" w:hAnsi="Times New Roman" w:cs="Times New Roman"/>
          <w:lang w:val="en-GB"/>
        </w:rPr>
        <w:t xml:space="preserve"> </w:t>
      </w:r>
      <w:r w:rsidR="001F44C3" w:rsidRPr="001F44C3">
        <w:rPr>
          <w:rFonts w:ascii="Times New Roman" w:eastAsia="Times New Roman" w:hAnsi="Times New Roman" w:cs="Times New Roman"/>
          <w:lang w:val="en-GB"/>
        </w:rPr>
        <w:fldChar w:fldCharType="begin"/>
      </w:r>
      <w:r w:rsidR="001F44C3" w:rsidRPr="001F44C3">
        <w:rPr>
          <w:rFonts w:ascii="Times New Roman" w:eastAsia="Times New Roman" w:hAnsi="Times New Roman" w:cs="Times New Roman"/>
          <w:lang w:val="en-GB"/>
        </w:rPr>
        <w:instrText xml:space="preserve"> ADDIN ZOTERO_ITEM CSL_CITATION {"citationID":"Y3guLPex","properties":{"formattedCitation":"(Fern\\uc0\\u225{}ndez-D\\uc0\\u225{}vila &amp; Zaragoza Lorca, 2009; Folch et al., 2006, 2010; Gonz\\uc0\\u225{}lez-Baeza et al., 2018)","plainCitation":"(Fernández-Dávila &amp; Zaragoza Lorca, 2009; Folch et al., 2006, 2010; González-Baeza et al., 2018)","noteIndex":0},"citationItems":[{"id":568,"uris":["http://zotero.org/users/5061103/items/BN6UTMHL"],"uri":["http://zotero.org/users/5061103/items/BN6UTMHL"],"itemData":{"id":568,"type":"article-journal","abstract":"Objective: 1) To compare sociodemographic characteristics, Internet use to seek sexual partners, and sexual behavior in two samples of men who have sex with men: one sample that was surveyed on-line and another that was interviewed in gay venues. 2) To determine the variables associated with unprotected anal intercourse with sexual partners met on-line.\nMethods: For 1 month, 804 men who have sex with men completed a pen-and-paper survey in gay venues and 1,240 completed a web survey in Madrid, Barcelona and Bilbao/San Sebastia´ n (Spain).\nResults: The sociodemographic characteristics differed in the two samples. Compared with men who have sex with men surveyed off-line, a higher proportion of those surveyed on-line used the Internet to meet sexual partners (81% vs. 65%, po0.05), had unprotected anal intercourse with sexual partners met on-line (31% vs. 27%, p40.05), had intentionally practised unprotected anal intercourse (81% vs. 65%, po0.05), did not know their HIV status (35% vs. 28%, po0.05), used drugs when they practised unprotected anal intercourse (68% vs. 55%, po0.05) and had had a sexually transmitted infection in the previous year (24% vs. 20%, po0.05). In the multivariate analysis, unprotected anal intercourse with sexual partners met on-line was associated with having more than 20 sexual partners (odds ratio [OR]: 1.528; 95% conﬁdence interval [95%CI]: 1.024–2.282; p ¼ 0.038), using drugs before/during sexual relations (OR: 1.962; 95% CI: 1.478–2.604; p ¼ 0.000), having had a sexually transmitted infection in the previous year (OR: 2.042; 95% CI: 1.535–2.716; p ¼ 0.000) and being HIV-positive (OR: 2.124; 95% CI: 1.355–3.330; p ¼ 0.001), amongst other factors.\nConclusions: Although the prevalence of unprotected anal intercourse was similar in the two samples, certain variables could explain why the men who have sex with men surveyed on-line had a greater risk of sexually transmitted infections than those surveyed off-line.","container-title":"Gaceta Sanitaria","DOI":"10.1016/j.gaceta.2008.11.004","ISSN":"02139111","issue":"5","language":"es","page":"380-387","source":"Crossref","title":"Internet y riesgo sexual en hombres que tienen sexo con hombres","volume":"23","author":[{"family":"Fernández-Dávila","given":"Percy"},{"family":"Zaragoza Lorca","given":"Kati"}],"issued":{"date-parts":[["2009",9]]}}},{"id":573,"uris":["http://zotero.org/users/5061103/items/IQJNUE6P"],"uri":["http://zotero.org/users/5061103/items/IQJNUE6P"],"itemData":{"id":573,"type":"article-journal","abstract":"Background: The objectives of the study were to determine the prevalence of alcohol and drug use before or during sex among men who have sex with men (MSM) in Catalonia during 2006, and to identify factors associated with variables of intensive alcohol and drug use. Methods: Cross-sectional study using self-administered questionnaires. Men were recruited in saunas, sex shops, bars and a public park and by mail to all the members of the Catalonia Gay Federation. Results: 19.6% of men said they were frequent users of alcohol, some type of drug (21.7%), or that they were multidrug users (18%) in the last 12 months. The multivariate analysis showed an association between having suffered discrimination and frequent alcohol and multidrug use. Being human immunodeficiency virus (HIV)positive was associated with frequent use of drugs and multidrug use. Associations between substance use and sexual risk behaviour also emerged. Conclusion: The high percentage of MSM who use alcohol and drugs before and during sex and association between these substances and sexual risk behaviours reveals the need to intensify interventions to reduce their levels of use and/or to reduce the associated damage and risks. These programs must try to cover MSM-specific psychosocial aspects and include prevention for HIV-positive men.","container-title":"The European Journal of Public Health","DOI":"10.1093/eurpub/ckp091","ISSN":"1101-1262, 1464-360X","issue":"2","language":"en","page":"139-145","source":"Crossref","title":"Correlates of intensive alcohol and drug use in men who have sex with men in Catalonia, Spain","volume":"20","author":[{"family":"Folch","given":"C."},{"family":"Esteve","given":"A."},{"family":"Zaragoza","given":"K."},{"family":"Munoz","given":"R."},{"family":"Casabona","given":"J."}],"issued":{"date-parts":[["2010",4,1]]}}},{"id":572,"uris":["http://zotero.org/users/5061103/items/3DEIHX6V"],"uri":["http://zotero.org/users/5061103/items/3DEIHX6V"],"itemData":{"id":572,"type":"article-journal","container-title":"AIDS Education and Prevention","DOI":"10.1521/aeap.2006.18.3.227","ISSN":"0899-9546","issue":"3","language":"en","page":"227-242","source":"Crossref","title":"Factors Associated with Unprotected Sexual Intercourse with Steady Male, Casual Male, and Female Partners Among Men Who Have Sex with Men in Barcelona, Spain","volume":"18","author":[{"family":"Folch","given":"Cinta"},{"family":"Marks","given":"Gary"},{"family":"Esteve","given":"Anna"},{"family":"Zaragoza","given":"Kati"},{"family":"Muñoz","given":"Rafa"},{"family":"Casabona","given":"Jordi"}],"issued":{"date-parts":[["2006",6]]}}},{"id":54,"uris":["http://zotero.org/users/5061103/items/64KP86T8"],"uri":["http://zotero.org/users/5061103/items/64KP86T8"],"itemData":{"id":54,"type":"article-journal","abstract":"The magnitude of sexualized drug use (SDU), also known as chemsex, and its association with sexually transmitted infections (STI) has not been systematically explored in HIV-positive patients. This study aimed to calculate the prevalence of SDU and associated factors in a sample of HIV-positive men who have sex with men (MSM) in Spain. We calculated the frequency of SDU in a sample of HIV-positive MSM who responded to an anonymous online survey on sexual behavior and recreational drug use. We also analyzed differences between those who responded and those who did not (data taken from the physician’s registry). The association between SDU, sexual risk behaviors, and STI was evaluated using a univariate and a multivariate analysis. Data were collected and managed using Research Electronic Data Capture (REDCap). The survey was completed by 742 HIV-positive MSM, of whom 60% had had unprotected anal intercourse (UAI), 62% had been diagnosed with a STI, and 216 (29.1%) reported recent SDU (slamsex in 16% of cases). In the multivariate analysis, patients who engaged in SDU were more likely to have had high-risk sexual behaviors and a diagnosis of STI than participants who did not engage in SDU. A diagnosis of hepatitis C was independently associated with slamsex (5.2 [95% conﬁdence interval (CI), 2.06–13.13]; p &lt; 0.001), chemsex (2.51 [95% CI, 1.28–4.91]; p = 0.007), and UAI (1.82 [95% CI, 0.90–3.70]; p = 0.094). The magnitude of SDU or chemsex in our sample is relatively high. We found a clear association between SDU, high-risk sexual behaviors, and STI including hepatitis C.","container-title":"AIDS Patient Care and STDs","DOI":"10.1089/apc.2017.0263","ISSN":"1087-2914, 1557-7449","issue":"3","language":"en","page":"112-118","source":"Crossref","title":"Sexualized Drug Use (Chemsex) Is Associated with High-Risk Sexual Behaviors and Sexually Transmitted Infections in HIV-Positive Men Who Have Sex with Men: Data from the U-SEX GESIDA 9416 Study","title-short":"Sexualized Drug Use (Chemsex) Is Associated with High-Risk Sexual Behaviors and Sexually Transmitted Infections in HIV-Positive Men Who Have Sex with Men","volume":"32","author":[{"family":"González-Baeza","given":"Alicia"},{"family":"Dolengevich-Segal","given":"Helen"},{"family":"Pérez-Valero","given":"Ignacio"},{"family":"Cabello","given":"Alfonso"},{"family":"Téllez","given":"María Jesús"},{"family":"Sanz","given":"José"},{"family":"Pérez-Latorre","given":"Leire"},{"family":"Bernardino","given":"José Ignacio"},{"family":"Troya","given":"Jesús"},{"family":"De La Fuente","given":"Sara"},{"family":"Bisbal","given":"Otilia"},{"family":"Santos","given":"Ignacio"},{"family":"Arponen","given":"Sari"},{"family":"Hontañon","given":"Víctor"},{"family":"Casado","given":"José Luis"},{"family":"Ryan","given":"Pablo"},{"literal":"the U-SEX GESIDA 9416 Study"}],"issued":{"date-parts":[["2018",3]]}}}],"schema":"https://github.com/citation-style-language/schema/raw/master/csl-citation.json"} </w:instrText>
      </w:r>
      <w:r w:rsidR="001F44C3" w:rsidRPr="001F44C3">
        <w:rPr>
          <w:rFonts w:ascii="Times New Roman" w:eastAsia="Times New Roman" w:hAnsi="Times New Roman" w:cs="Times New Roman"/>
          <w:lang w:val="en-GB"/>
        </w:rPr>
        <w:fldChar w:fldCharType="separate"/>
      </w:r>
      <w:r w:rsidR="001F44C3" w:rsidRPr="001F44C3">
        <w:rPr>
          <w:rFonts w:ascii="Times New Roman" w:eastAsia="Times New Roman" w:hAnsi="Times New Roman" w:cs="Times New Roman"/>
          <w:lang w:val="en-GB"/>
        </w:rPr>
        <w:t>(Fernández-Dávila &amp; Zaragoza Lorca, 2009; Folch et al., 2006, 2010; González-Baeza et al., 2018)</w:t>
      </w:r>
      <w:r w:rsidR="001F44C3" w:rsidRPr="001F44C3">
        <w:rPr>
          <w:rFonts w:ascii="Times New Roman" w:eastAsia="Times New Roman" w:hAnsi="Times New Roman" w:cs="Times New Roman"/>
          <w:lang w:val="en-GB"/>
        </w:rPr>
        <w:fldChar w:fldCharType="end"/>
      </w:r>
      <w:r w:rsidR="001F44C3">
        <w:rPr>
          <w:rFonts w:ascii="Times New Roman" w:eastAsia="Times New Roman" w:hAnsi="Times New Roman" w:cs="Times New Roman"/>
          <w:lang w:val="en-GB"/>
        </w:rPr>
        <w:t xml:space="preserve"> and in other contexts </w:t>
      </w:r>
      <w:r w:rsidR="001F44C3">
        <w:rPr>
          <w:rFonts w:ascii="Times New Roman" w:eastAsia="Times New Roman" w:hAnsi="Times New Roman" w:cs="Times New Roman"/>
          <w:lang w:val="en-GB"/>
        </w:rPr>
        <w:fldChar w:fldCharType="begin"/>
      </w:r>
      <w:r w:rsidR="001F44C3">
        <w:rPr>
          <w:rFonts w:ascii="Times New Roman" w:eastAsia="Times New Roman" w:hAnsi="Times New Roman" w:cs="Times New Roman"/>
          <w:lang w:val="en-GB"/>
        </w:rPr>
        <w:instrText xml:space="preserve"> ADDIN ZOTERO_ITEM CSL_CITATION {"citationID":"tdMALgUN","properties":{"formattedCitation":"(Choi et al., 2005; Drumright et al., 2006; Kashubeck-West &amp; Szymanski, 2008)","plainCitation":"(Choi et al., 2005; Drumright et al., 2006; Kashubeck-West &amp; Szymanski, 2008)","noteIndex":0},"citationItems":[{"id":566,"uris":["http://zotero.org/users/5061103/items/35MM44SZ"],"uri":["http://zotero.org/users/5061103/items/35MM44SZ"],"itemData":{"id":566,"type":"article-journal","container-title":"AIDS Education and Prevention","DOI":"10.1521/aeap.2005.17.5.418","ISSN":"0899-9546","issue":"5","language":"en","page":"418-429","source":"Crossref","title":"Substance Use, Substance Choice, and Unprotected Anal Intercourse among Young Asian American and Pacific Islander Men Who Have Sex with Men","volume":"17","author":[{"family":"Choi","given":"Kyung–Hee"},{"family":"Operario","given":"Don"},{"family":"Gregorich","given":"Steven E."},{"family":"McFarland","given":"Willi"},{"family":"MacKellar","given":"Duncan"},{"family":"Valleroy","given":"Linda"}],"issued":{"date-parts":[["2005",10]]}}},{"id":567,"uris":["http://zotero.org/users/5061103/items/YKISZ2GH"],"uri":["http://zotero.org/users/5061103/items/YKISZ2GH"],"itemData":{"id":567,"type":"article-journal","abstract":"Objectives: To examine within-subjects and combined betweenand within-subjects associations between substance use and unprotected anal intercourse (UAI) among men who have sex with men (MSM) with recent HIV infection.\nMethods: One hundred ninety-four MSM who were recently infected with HIV completed a computer-assisted questionnaire regarding sexual behaviors and substance use with their last 3 partners. Associations between UAI and substance use were assessed using conditional logistic regression (CLR) to assess associations among the 116 MSM reporting UAI with some but not all partners and generalized linear mixed effects models (GLMMs) to examine a combination of within- and between-subjects associations in the entire sample (N = 194).\nResults: In multivariate CLR models and GLMMs, UAI was associated with the use of methamphetamine (odds ratio [OR] = 4.9 and OR = 3.5, respectively), marijuana (OR = 4.0 and OR = 2.2, respectively) and erectile dysfunction medications (EDMs) when used with a main partner (OR = 13.8 and OR = 10.1, respectively).\nConclusions: Results indicate that a direct association may exist between speciﬁc substances and UAI and provide evidence that the use of methamphetamine and EDMs may contribute to HIV transmission.","container-title":"JAIDS Journal of Acquired Immune Deficiency Syndromes","DOI":"10.1097/01.qai.0000230530.02212.86","ISSN":"1525-4135","issue":"3","language":"en","page":"344-350","source":"Crossref","title":"Unprotected Anal Intercourse and Substance Use Among Men Who Have Sex With Men With Recent HIV Infection:","title-short":"Unprotected Anal Intercourse and Substance Use Among Men Who Have Sex With Men With Recent HIV Infection","volume":"43","author":[{"family":"Drumright","given":"Lydia N"},{"family":"Little","given":"Susan J"},{"family":"Strathdee","given":"Steffanie A"},{"family":"Slymen","given":"Donald J"},{"family":"Araneta","given":"Maria Rosario G"},{"family":"Malcarne","given":"Vanessa L"},{"family":"Daar","given":"Eric S"},{"family":"Gorbach","given":"Pamina M"}],"issued":{"date-parts":[["2006",11]]}}},{"id":314,"uris":["http://zotero.org/users/5061103/items/BDZND88T"],"uri":["http://zotero.org/users/5061103/items/BDZND88T"],"itemData":{"id":314,"type":"article-journal","container-title":"The Counseling Psychologist","DOI":"10.1177/0011000007309633","ISSN":"0011-0000, 1552-3861","issue":"4","language":"en","page":"595-614","source":"Crossref","title":"Risky Sexual Behavior in Gay and Bisexual Men: Internalized Heterosexism, Sensation Seeking, and Substance Use","title-short":"Risky Sexual Behavior in Gay and Bisexual Men","volume":"36","author":[{"family":"Kashubeck-West","given":"Susan"},{"family":"Szymanski","given":"Dawn M."}],"issued":{"date-parts":[["2008",7]]}}}],"schema":"https://github.com/citation-style-language/schema/raw/master/csl-citation.json"} </w:instrText>
      </w:r>
      <w:r w:rsidR="001F44C3">
        <w:rPr>
          <w:rFonts w:ascii="Times New Roman" w:eastAsia="Times New Roman" w:hAnsi="Times New Roman" w:cs="Times New Roman"/>
          <w:lang w:val="en-GB"/>
        </w:rPr>
        <w:fldChar w:fldCharType="separate"/>
      </w:r>
      <w:r w:rsidR="001F44C3">
        <w:rPr>
          <w:rFonts w:ascii="Times New Roman" w:eastAsia="Times New Roman" w:hAnsi="Times New Roman" w:cs="Times New Roman"/>
          <w:lang w:val="en-GB"/>
        </w:rPr>
        <w:t>(Choi et al., 2005; Drumright et al., 2006; Kashubeck-West &amp; Szymanski, 2008)</w:t>
      </w:r>
      <w:r w:rsidR="001F44C3">
        <w:rPr>
          <w:rFonts w:ascii="Times New Roman" w:eastAsia="Times New Roman" w:hAnsi="Times New Roman" w:cs="Times New Roman"/>
          <w:lang w:val="en-GB"/>
        </w:rPr>
        <w:fldChar w:fldCharType="end"/>
      </w:r>
      <w:r w:rsidR="001F44C3">
        <w:rPr>
          <w:rFonts w:ascii="Times New Roman" w:eastAsia="Times New Roman" w:hAnsi="Times New Roman" w:cs="Times New Roman"/>
          <w:lang w:val="en-GB"/>
        </w:rPr>
        <w:t>.</w:t>
      </w:r>
      <w:r w:rsidR="0030050E">
        <w:rPr>
          <w:rFonts w:ascii="Times New Roman" w:eastAsia="Times New Roman" w:hAnsi="Times New Roman" w:cs="Times New Roman"/>
          <w:lang w:val="en-GB"/>
        </w:rPr>
        <w:t xml:space="preserve"> </w:t>
      </w:r>
    </w:p>
    <w:p w14:paraId="07FDF234" w14:textId="59AB7507" w:rsidR="005F4E7F" w:rsidRDefault="00D37C7A">
      <w:pPr>
        <w:spacing w:line="276" w:lineRule="auto"/>
        <w:ind w:firstLine="720"/>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It is also possible that the relationship between IH and SRB </w:t>
      </w:r>
      <w:r w:rsidR="00741BCF">
        <w:rPr>
          <w:rFonts w:ascii="Times New Roman" w:eastAsia="Times New Roman" w:hAnsi="Times New Roman" w:cs="Times New Roman"/>
          <w:lang w:val="en-GB"/>
        </w:rPr>
        <w:t>differs</w:t>
      </w:r>
      <w:r w:rsidR="00476052">
        <w:rPr>
          <w:rFonts w:ascii="Times New Roman" w:eastAsia="Times New Roman" w:hAnsi="Times New Roman" w:cs="Times New Roman"/>
          <w:lang w:val="en-GB"/>
        </w:rPr>
        <w:t xml:space="preserve"> across different socio-cultural contexts, as sexual minority men’s daily experiences and identity development are context specific. </w:t>
      </w:r>
      <w:r w:rsidR="007822BA">
        <w:rPr>
          <w:rFonts w:ascii="Times New Roman" w:eastAsia="Times New Roman" w:hAnsi="Times New Roman" w:cs="Times New Roman"/>
          <w:lang w:val="en-GB"/>
        </w:rPr>
        <w:t xml:space="preserve">A global study of 109,000 gay and bisexual men </w:t>
      </w:r>
      <w:r w:rsidR="00741BCF">
        <w:rPr>
          <w:rFonts w:ascii="Times New Roman" w:eastAsia="Times New Roman" w:hAnsi="Times New Roman" w:cs="Times New Roman"/>
          <w:lang w:val="en-GB"/>
        </w:rPr>
        <w:t xml:space="preserve">recently </w:t>
      </w:r>
      <w:r w:rsidR="007822BA">
        <w:rPr>
          <w:rFonts w:ascii="Times New Roman" w:eastAsia="Times New Roman" w:hAnsi="Times New Roman" w:cs="Times New Roman"/>
          <w:lang w:val="en-GB"/>
        </w:rPr>
        <w:t xml:space="preserve">documented that socio-political </w:t>
      </w:r>
      <w:r w:rsidR="007822BA" w:rsidRPr="007822BA">
        <w:rPr>
          <w:rFonts w:ascii="Times New Roman" w:eastAsia="Times New Roman" w:hAnsi="Times New Roman" w:cs="Times New Roman"/>
          <w:lang w:val="en-GB"/>
        </w:rPr>
        <w:t xml:space="preserve">and cultural homonegativity </w:t>
      </w:r>
      <w:r w:rsidR="007822BA">
        <w:rPr>
          <w:rFonts w:ascii="Times New Roman" w:eastAsia="Times New Roman" w:hAnsi="Times New Roman" w:cs="Times New Roman"/>
          <w:lang w:val="en-GB"/>
        </w:rPr>
        <w:t>varies</w:t>
      </w:r>
      <w:r w:rsidR="007822BA" w:rsidRPr="007822BA">
        <w:rPr>
          <w:rFonts w:ascii="Times New Roman" w:eastAsia="Times New Roman" w:hAnsi="Times New Roman" w:cs="Times New Roman"/>
          <w:lang w:val="en-GB"/>
        </w:rPr>
        <w:t xml:space="preserve"> in its manifestation</w:t>
      </w:r>
      <w:r w:rsidR="007822BA">
        <w:rPr>
          <w:rFonts w:ascii="Times New Roman" w:eastAsia="Times New Roman" w:hAnsi="Times New Roman" w:cs="Times New Roman"/>
          <w:lang w:val="en-GB"/>
        </w:rPr>
        <w:t xml:space="preserve"> </w:t>
      </w:r>
      <w:r w:rsidR="007822BA" w:rsidRPr="007822BA">
        <w:rPr>
          <w:rFonts w:ascii="Times New Roman" w:eastAsia="Times New Roman" w:hAnsi="Times New Roman" w:cs="Times New Roman"/>
          <w:lang w:val="en-GB"/>
        </w:rPr>
        <w:t>and intensity</w:t>
      </w:r>
      <w:r w:rsidR="007822BA">
        <w:rPr>
          <w:rFonts w:ascii="Times New Roman" w:eastAsia="Times New Roman" w:hAnsi="Times New Roman" w:cs="Times New Roman"/>
          <w:lang w:val="en-GB"/>
        </w:rPr>
        <w:t xml:space="preserve">, and that both </w:t>
      </w:r>
      <w:r w:rsidR="007822BA" w:rsidRPr="007822BA">
        <w:rPr>
          <w:rFonts w:ascii="Times New Roman" w:eastAsia="Times New Roman" w:hAnsi="Times New Roman" w:cs="Times New Roman"/>
          <w:lang w:val="en-GB"/>
        </w:rPr>
        <w:t xml:space="preserve">manifest </w:t>
      </w:r>
      <w:r w:rsidR="006C1441" w:rsidRPr="007822BA">
        <w:rPr>
          <w:rFonts w:ascii="Times New Roman" w:eastAsia="Times New Roman" w:hAnsi="Times New Roman" w:cs="Times New Roman"/>
          <w:lang w:val="en-GB"/>
        </w:rPr>
        <w:t>socio-political</w:t>
      </w:r>
      <w:r w:rsidR="007822BA" w:rsidRPr="007822BA">
        <w:rPr>
          <w:rFonts w:ascii="Times New Roman" w:eastAsia="Times New Roman" w:hAnsi="Times New Roman" w:cs="Times New Roman"/>
          <w:lang w:val="en-GB"/>
        </w:rPr>
        <w:t xml:space="preserve"> stigma</w:t>
      </w:r>
      <w:r w:rsidR="007822BA">
        <w:rPr>
          <w:rFonts w:ascii="Times New Roman" w:eastAsia="Times New Roman" w:hAnsi="Times New Roman" w:cs="Times New Roman"/>
          <w:lang w:val="en-GB"/>
        </w:rPr>
        <w:t xml:space="preserve"> and</w:t>
      </w:r>
      <w:r w:rsidR="007822BA" w:rsidRPr="007822BA">
        <w:rPr>
          <w:rFonts w:ascii="Times New Roman" w:eastAsia="Times New Roman" w:hAnsi="Times New Roman" w:cs="Times New Roman"/>
          <w:lang w:val="en-GB"/>
        </w:rPr>
        <w:t xml:space="preserve"> actual discriminatory</w:t>
      </w:r>
      <w:r w:rsidR="007822BA">
        <w:rPr>
          <w:rFonts w:ascii="Times New Roman" w:eastAsia="Times New Roman" w:hAnsi="Times New Roman" w:cs="Times New Roman"/>
          <w:lang w:val="en-GB"/>
        </w:rPr>
        <w:t xml:space="preserve"> </w:t>
      </w:r>
      <w:r w:rsidR="007822BA" w:rsidRPr="007822BA">
        <w:rPr>
          <w:rFonts w:ascii="Times New Roman" w:eastAsia="Times New Roman" w:hAnsi="Times New Roman" w:cs="Times New Roman"/>
          <w:lang w:val="en-GB"/>
        </w:rPr>
        <w:t>events independently</w:t>
      </w:r>
      <w:r w:rsidR="007822BA">
        <w:rPr>
          <w:rFonts w:ascii="Times New Roman" w:eastAsia="Times New Roman" w:hAnsi="Times New Roman" w:cs="Times New Roman"/>
          <w:lang w:val="en-GB"/>
        </w:rPr>
        <w:t xml:space="preserve"> </w:t>
      </w:r>
      <w:r w:rsidR="007822BA" w:rsidRPr="007822BA">
        <w:rPr>
          <w:rFonts w:ascii="Times New Roman" w:eastAsia="Times New Roman" w:hAnsi="Times New Roman" w:cs="Times New Roman"/>
          <w:lang w:val="en-GB"/>
        </w:rPr>
        <w:t>contribute to high levels of IH</w:t>
      </w:r>
      <w:r w:rsidR="00741BCF">
        <w:rPr>
          <w:rFonts w:ascii="Times New Roman" w:eastAsia="Times New Roman" w:hAnsi="Times New Roman" w:cs="Times New Roman"/>
          <w:lang w:val="en-GB"/>
        </w:rPr>
        <w:t xml:space="preserve"> </w:t>
      </w:r>
      <w:r w:rsidR="006C1441">
        <w:rPr>
          <w:rFonts w:ascii="Times New Roman" w:eastAsia="Times New Roman" w:hAnsi="Times New Roman" w:cs="Times New Roman"/>
          <w:lang w:val="en-GB"/>
        </w:rPr>
        <w:fldChar w:fldCharType="begin"/>
      </w:r>
      <w:r w:rsidR="006C1441">
        <w:rPr>
          <w:rFonts w:ascii="Times New Roman" w:eastAsia="Times New Roman" w:hAnsi="Times New Roman" w:cs="Times New Roman"/>
          <w:lang w:val="en-GB"/>
        </w:rPr>
        <w:instrText xml:space="preserve"> ADDIN ZOTERO_ITEM CSL_CITATION {"citationID":"Ezx2zsNu","properties":{"formattedCitation":"(Berg et al., 2017)","plainCitation":"(Berg et al., 2017)","noteIndex":0},"citationItems":[{"id":1847,"uris":["http://zotero.org/users/5061103/items/JIXS5SEP"],"uri":["http://zotero.org/users/5061103/items/JIXS5SEP"],"itemData":{"id":1847,"type":"article-journal","abstract":"Objectives: Based on the premise that internalized homonegativity (IH) is a product of the incorporation of environmental heterosexism, the authors examined the inﬂuence of sociopolitical and individual inﬂuences on IH. Methods: The cross-sectional study consisted of 109,382 gay and bisexual men across 77 countries. Results: Variables at the (European) country-level that were associated with higher levels of IH included lack of laws recognizing same-sex relationships and perceived and actual negative gay-related public opinion about homosexuals. Individual-level variables signiﬁcantly associated with IH were public opinion about homosexuals and exposure to gay-related victimization/discrimination. Conclusions: An improved sociopolitical climate for LGB individuals is needed.","container-title":"International Journal of Sexual Health","DOI":"10.1080/19317611.2016.1247125","ISSN":"1931-7611, 1931-762X","issue":"1","journalAbbreviation":"International Journal of Sexual Health","language":"en","page":"97-111","source":"DOI.org (Crossref)","title":"Sociopolitical and Cultural Correlates of Internalized Homonegativity in Gay and Bisexual Men: Findings from a Global Study","title-short":"Sociopolitical and Cultural Correlates of Internalized Homonegativity in Gay and Bisexual Men","volume":"29","author":[{"family":"Berg","given":"Rigmor C."},{"family":"Lemke","given":"Richard"},{"family":"Ross","given":"Michael W."}],"issued":{"date-parts":[["2017",1,2]]}}}],"schema":"https://github.com/citation-style-language/schema/raw/master/csl-citation.json"} </w:instrText>
      </w:r>
      <w:r w:rsidR="006C1441">
        <w:rPr>
          <w:rFonts w:ascii="Times New Roman" w:eastAsia="Times New Roman" w:hAnsi="Times New Roman" w:cs="Times New Roman"/>
          <w:lang w:val="en-GB"/>
        </w:rPr>
        <w:fldChar w:fldCharType="separate"/>
      </w:r>
      <w:r w:rsidR="006C1441">
        <w:rPr>
          <w:rFonts w:ascii="Times New Roman" w:eastAsia="Times New Roman" w:hAnsi="Times New Roman" w:cs="Times New Roman"/>
          <w:noProof/>
          <w:lang w:val="en-GB"/>
        </w:rPr>
        <w:t>(Berg et al., 2017)</w:t>
      </w:r>
      <w:r w:rsidR="006C1441">
        <w:rPr>
          <w:rFonts w:ascii="Times New Roman" w:eastAsia="Times New Roman" w:hAnsi="Times New Roman" w:cs="Times New Roman"/>
          <w:lang w:val="en-GB"/>
        </w:rPr>
        <w:fldChar w:fldCharType="end"/>
      </w:r>
      <w:r w:rsidR="006C1441">
        <w:rPr>
          <w:rFonts w:ascii="Times New Roman" w:eastAsia="Times New Roman" w:hAnsi="Times New Roman" w:cs="Times New Roman"/>
          <w:lang w:val="en-GB"/>
        </w:rPr>
        <w:t xml:space="preserve">. </w:t>
      </w:r>
      <w:r w:rsidR="00476052">
        <w:rPr>
          <w:rFonts w:ascii="Times New Roman" w:eastAsia="Times New Roman" w:hAnsi="Times New Roman" w:cs="Times New Roman"/>
          <w:lang w:val="en-GB"/>
        </w:rPr>
        <w:t xml:space="preserve">For example, </w:t>
      </w:r>
      <w:r w:rsidR="00D75DCB">
        <w:rPr>
          <w:rFonts w:ascii="Times New Roman" w:eastAsia="Times New Roman" w:hAnsi="Times New Roman" w:cs="Times New Roman"/>
          <w:lang w:val="en-GB"/>
        </w:rPr>
        <w:t>w</w:t>
      </w:r>
      <w:r w:rsidR="00741BCF">
        <w:rPr>
          <w:rFonts w:ascii="Times New Roman" w:eastAsia="Times New Roman" w:hAnsi="Times New Roman" w:cs="Times New Roman"/>
          <w:lang w:val="en-GB"/>
        </w:rPr>
        <w:t xml:space="preserve">hile Spain is among the countries with </w:t>
      </w:r>
      <w:r w:rsidR="00741BCF">
        <w:rPr>
          <w:rFonts w:ascii="Times New Roman" w:eastAsia="Times New Roman" w:hAnsi="Times New Roman" w:cs="Times New Roman"/>
          <w:lang w:val="en-GB"/>
        </w:rPr>
        <w:lastRenderedPageBreak/>
        <w:t>the least hostility toward sexual minorities</w:t>
      </w:r>
      <w:r w:rsidR="00D75DCB">
        <w:rPr>
          <w:rFonts w:ascii="Times New Roman" w:eastAsia="Times New Roman" w:hAnsi="Times New Roman" w:cs="Times New Roman"/>
          <w:lang w:val="en-GB"/>
        </w:rPr>
        <w:t xml:space="preserve"> and offers social protection laws against sexual identity discrimination</w:t>
      </w:r>
      <w:r w:rsidR="00741BCF">
        <w:rPr>
          <w:rFonts w:ascii="Times New Roman" w:eastAsia="Times New Roman" w:hAnsi="Times New Roman" w:cs="Times New Roman"/>
          <w:lang w:val="en-GB"/>
        </w:rPr>
        <w:t xml:space="preserve">, Tukey is among the countries with the greatest hostility, with </w:t>
      </w:r>
      <w:r w:rsidR="00741BCF" w:rsidRPr="00741BCF">
        <w:rPr>
          <w:rFonts w:ascii="Times New Roman" w:eastAsia="Times New Roman" w:hAnsi="Times New Roman" w:cs="Times New Roman"/>
          <w:lang w:val="en-GB"/>
        </w:rPr>
        <w:t>&gt;90% of the population believ</w:t>
      </w:r>
      <w:r w:rsidR="00741BCF">
        <w:rPr>
          <w:rFonts w:ascii="Times New Roman" w:eastAsia="Times New Roman" w:hAnsi="Times New Roman" w:cs="Times New Roman"/>
          <w:lang w:val="en-GB"/>
        </w:rPr>
        <w:t>ing that</w:t>
      </w:r>
      <w:r w:rsidR="00741BCF" w:rsidRPr="00741BCF">
        <w:rPr>
          <w:rFonts w:ascii="Times New Roman" w:eastAsia="Times New Roman" w:hAnsi="Times New Roman" w:cs="Times New Roman"/>
          <w:lang w:val="en-GB"/>
        </w:rPr>
        <w:t xml:space="preserve"> homosexuality is</w:t>
      </w:r>
      <w:r w:rsidR="00741BCF">
        <w:rPr>
          <w:rFonts w:ascii="Times New Roman" w:eastAsia="Times New Roman" w:hAnsi="Times New Roman" w:cs="Times New Roman"/>
          <w:lang w:val="en-GB"/>
        </w:rPr>
        <w:t xml:space="preserve"> </w:t>
      </w:r>
      <w:r w:rsidR="00741BCF" w:rsidRPr="00741BCF">
        <w:rPr>
          <w:rFonts w:ascii="Times New Roman" w:eastAsia="Times New Roman" w:hAnsi="Times New Roman" w:cs="Times New Roman"/>
          <w:lang w:val="en-GB"/>
        </w:rPr>
        <w:t>morally unacceptable</w:t>
      </w:r>
      <w:r w:rsidR="00741BCF">
        <w:rPr>
          <w:rFonts w:ascii="Times New Roman" w:eastAsia="Times New Roman" w:hAnsi="Times New Roman" w:cs="Times New Roman"/>
          <w:lang w:val="en-GB"/>
        </w:rPr>
        <w:t xml:space="preserve"> (Berg et al 2016).</w:t>
      </w:r>
      <w:r w:rsidR="006C1441">
        <w:rPr>
          <w:rFonts w:ascii="Times New Roman" w:eastAsia="Times New Roman" w:hAnsi="Times New Roman" w:cs="Times New Roman"/>
          <w:lang w:val="en-GB"/>
        </w:rPr>
        <w:t xml:space="preserve"> </w:t>
      </w:r>
      <w:r w:rsidR="006C1441" w:rsidRPr="006C1441">
        <w:rPr>
          <w:rFonts w:ascii="Times New Roman" w:eastAsia="Times New Roman" w:hAnsi="Times New Roman" w:cs="Times New Roman"/>
          <w:lang w:val="en-GB"/>
        </w:rPr>
        <w:t>Although Turkey is among the very few countries worldwide that has never criminalised homosexuality, sex between men</w:t>
      </w:r>
      <w:r w:rsidR="00BF5E21">
        <w:rPr>
          <w:rFonts w:ascii="Times New Roman" w:eastAsia="Times New Roman" w:hAnsi="Times New Roman" w:cs="Times New Roman"/>
          <w:lang w:val="en-GB"/>
        </w:rPr>
        <w:t xml:space="preserve"> –</w:t>
      </w:r>
      <w:r w:rsidR="006C1441" w:rsidRPr="006C1441">
        <w:rPr>
          <w:rFonts w:ascii="Times New Roman" w:eastAsia="Times New Roman" w:hAnsi="Times New Roman" w:cs="Times New Roman"/>
          <w:lang w:val="en-GB"/>
        </w:rPr>
        <w:t xml:space="preserve"> particularly taking the receptive role in anal sex</w:t>
      </w:r>
      <w:r w:rsidR="00BF5E21">
        <w:rPr>
          <w:rFonts w:ascii="Times New Roman" w:eastAsia="Times New Roman" w:hAnsi="Times New Roman" w:cs="Times New Roman"/>
          <w:lang w:val="en-GB"/>
        </w:rPr>
        <w:t xml:space="preserve"> –</w:t>
      </w:r>
      <w:r w:rsidR="006C1441" w:rsidRPr="006C1441">
        <w:rPr>
          <w:rFonts w:ascii="Times New Roman" w:eastAsia="Times New Roman" w:hAnsi="Times New Roman" w:cs="Times New Roman"/>
          <w:lang w:val="en-GB"/>
        </w:rPr>
        <w:t xml:space="preserve"> has been a stigmatised behaviour both among MSM and </w:t>
      </w:r>
      <w:r w:rsidR="00BF5E21">
        <w:rPr>
          <w:rFonts w:ascii="Times New Roman" w:eastAsia="Times New Roman" w:hAnsi="Times New Roman" w:cs="Times New Roman"/>
          <w:lang w:val="en-GB"/>
        </w:rPr>
        <w:t>general</w:t>
      </w:r>
      <w:r w:rsidR="006C1441" w:rsidRPr="006C1441">
        <w:rPr>
          <w:rFonts w:ascii="Times New Roman" w:eastAsia="Times New Roman" w:hAnsi="Times New Roman" w:cs="Times New Roman"/>
          <w:lang w:val="en-GB"/>
        </w:rPr>
        <w:t xml:space="preserve"> society</w:t>
      </w:r>
      <w:r w:rsidR="00BF5E21">
        <w:rPr>
          <w:rFonts w:ascii="Times New Roman" w:eastAsia="Times New Roman" w:hAnsi="Times New Roman" w:cs="Times New Roman"/>
          <w:lang w:val="en-GB"/>
        </w:rPr>
        <w:t>,</w:t>
      </w:r>
      <w:r w:rsidR="006C1441" w:rsidRPr="006C1441">
        <w:rPr>
          <w:rFonts w:ascii="Times New Roman" w:eastAsia="Times New Roman" w:hAnsi="Times New Roman" w:cs="Times New Roman"/>
          <w:lang w:val="en-GB"/>
        </w:rPr>
        <w:t xml:space="preserve"> despite being culturally prevalent for centuries. </w:t>
      </w:r>
      <w:r w:rsidR="00BF5E21">
        <w:rPr>
          <w:rFonts w:ascii="Times New Roman" w:eastAsia="Times New Roman" w:hAnsi="Times New Roman" w:cs="Times New Roman"/>
          <w:lang w:val="en-GB"/>
        </w:rPr>
        <w:t>Unsurprisingly, studies show that</w:t>
      </w:r>
      <w:r w:rsidR="00A55051">
        <w:rPr>
          <w:rFonts w:ascii="Times New Roman" w:eastAsia="Times New Roman" w:hAnsi="Times New Roman" w:cs="Times New Roman"/>
          <w:lang w:val="en-GB"/>
        </w:rPr>
        <w:t xml:space="preserve"> </w:t>
      </w:r>
      <w:r w:rsidR="0028392A">
        <w:rPr>
          <w:rFonts w:ascii="Times New Roman" w:eastAsia="Times New Roman" w:hAnsi="Times New Roman" w:cs="Times New Roman"/>
          <w:lang w:val="en-GB"/>
        </w:rPr>
        <w:t>IH</w:t>
      </w:r>
      <w:r w:rsidR="006C1441" w:rsidRPr="006C1441">
        <w:rPr>
          <w:rFonts w:ascii="Times New Roman" w:eastAsia="Times New Roman" w:hAnsi="Times New Roman" w:cs="Times New Roman"/>
          <w:lang w:val="en-GB"/>
        </w:rPr>
        <w:t xml:space="preserve"> among Turkish MSM </w:t>
      </w:r>
      <w:r w:rsidR="00BF5E21">
        <w:rPr>
          <w:rFonts w:ascii="Times New Roman" w:eastAsia="Times New Roman" w:hAnsi="Times New Roman" w:cs="Times New Roman"/>
          <w:lang w:val="en-GB"/>
        </w:rPr>
        <w:t xml:space="preserve">was </w:t>
      </w:r>
      <w:r w:rsidR="006C1441" w:rsidRPr="006C1441">
        <w:rPr>
          <w:rFonts w:ascii="Times New Roman" w:eastAsia="Times New Roman" w:hAnsi="Times New Roman" w:cs="Times New Roman"/>
          <w:lang w:val="en-GB"/>
        </w:rPr>
        <w:t xml:space="preserve">considerably higher than </w:t>
      </w:r>
      <w:r w:rsidR="00BF5E21">
        <w:rPr>
          <w:rFonts w:ascii="Times New Roman" w:eastAsia="Times New Roman" w:hAnsi="Times New Roman" w:cs="Times New Roman"/>
          <w:lang w:val="en-GB"/>
        </w:rPr>
        <w:t xml:space="preserve">among </w:t>
      </w:r>
      <w:r w:rsidR="006C1441" w:rsidRPr="006C1441">
        <w:rPr>
          <w:rFonts w:ascii="Times New Roman" w:eastAsia="Times New Roman" w:hAnsi="Times New Roman" w:cs="Times New Roman"/>
          <w:lang w:val="en-GB"/>
        </w:rPr>
        <w:t xml:space="preserve">Spanish MSM </w:t>
      </w:r>
      <w:r w:rsidR="0028392A">
        <w:rPr>
          <w:rFonts w:ascii="Times New Roman" w:eastAsia="Times New Roman" w:hAnsi="Times New Roman" w:cs="Times New Roman"/>
          <w:lang w:val="en-GB"/>
        </w:rPr>
        <w:fldChar w:fldCharType="begin"/>
      </w:r>
      <w:r w:rsidR="006C7BCD">
        <w:rPr>
          <w:rFonts w:ascii="Times New Roman" w:eastAsia="Times New Roman" w:hAnsi="Times New Roman" w:cs="Times New Roman"/>
          <w:lang w:val="en-GB"/>
        </w:rPr>
        <w:instrText xml:space="preserve"> ADDIN ZOTERO_ITEM CSL_CITATION {"citationID":"tBGQxOtq","properties":{"formattedCitation":"(The EMIS Network, 2013, 2019)","plainCitation":"(The EMIS Network, 2013, 2019)","noteIndex":0},"citationItems":[{"id":1851,"uris":["http://zotero.org/users/5061103/items/9U6G3XR2"],"uri":["http://zotero.org/users/5061103/items/9U6G3XR2"],"itemData":{"id":1851,"type":"report","event-place":"Stockholm","language":"en","publisher":"European Centre for Disease Prevention and Control","publisher-place":"Stockholm","source":"DOI.org (CSL JSON)","title":"EMIS 2010-The European Men-Who-Have-Sex-With-Men Internet Survey: Findings from 38 countries.","title-short":"EMIS 2010, the European men-who-have-sex-with-men internet survey","URL":"https://data.europa.eu/doi/10.2900/79639","author":[{"literal":"The EMIS Network"}],"accessed":{"date-parts":[["2021",11,17]]},"issued":{"date-parts":[["2013"]]}}},{"id":1629,"uris":["http://zotero.org/users/5061103/items/D6U62E9C"],"uri":["http://zotero.org/users/5061103/items/D6U62E9C"],"itemData":{"id":1629,"type":"report","event-place":"Stockholm","language":"en","publisher":"European Centre for Disease Prevention and Control","publisher-place":"Stockholm","source":"DOI.org (CSL JSON)","title":"EMIS-2017: European Men-Who-Have-Sex-With-Men Internet Survey: Key findings from 50 countries.","title-short":"EMIS-2017","URL":"https://data.europa.eu/doi/10.2900/690387","author":[{"literal":"The EMIS Network"}],"accessed":{"date-parts":[["2021",9,16]]},"issued":{"date-parts":[["2019"]]}}}],"schema":"https://github.com/citation-style-language/schema/raw/master/csl-citation.json"} </w:instrText>
      </w:r>
      <w:r w:rsidR="0028392A">
        <w:rPr>
          <w:rFonts w:ascii="Times New Roman" w:eastAsia="Times New Roman" w:hAnsi="Times New Roman" w:cs="Times New Roman"/>
          <w:lang w:val="en-GB"/>
        </w:rPr>
        <w:fldChar w:fldCharType="separate"/>
      </w:r>
      <w:r w:rsidR="0028392A">
        <w:rPr>
          <w:rFonts w:ascii="Times New Roman" w:eastAsia="Times New Roman" w:hAnsi="Times New Roman" w:cs="Times New Roman"/>
          <w:noProof/>
          <w:lang w:val="en-GB"/>
        </w:rPr>
        <w:t>(The EMIS Network, 2013, 2019)</w:t>
      </w:r>
      <w:r w:rsidR="0028392A">
        <w:rPr>
          <w:rFonts w:ascii="Times New Roman" w:eastAsia="Times New Roman" w:hAnsi="Times New Roman" w:cs="Times New Roman"/>
          <w:lang w:val="en-GB"/>
        </w:rPr>
        <w:fldChar w:fldCharType="end"/>
      </w:r>
      <w:r w:rsidR="0028392A">
        <w:rPr>
          <w:rFonts w:ascii="Times New Roman" w:eastAsia="Times New Roman" w:hAnsi="Times New Roman" w:cs="Times New Roman"/>
          <w:lang w:val="en-GB"/>
        </w:rPr>
        <w:t xml:space="preserve">. </w:t>
      </w:r>
    </w:p>
    <w:p w14:paraId="6BC594A6" w14:textId="47E1658C" w:rsidR="00D75DCB" w:rsidRDefault="00D75DCB" w:rsidP="001D786F">
      <w:pPr>
        <w:spacing w:line="276" w:lineRule="auto"/>
        <w:ind w:firstLine="720"/>
        <w:jc w:val="both"/>
        <w:rPr>
          <w:rFonts w:ascii="Times New Roman" w:eastAsia="Times New Roman" w:hAnsi="Times New Roman" w:cs="Times New Roman"/>
          <w:lang w:val="en-GB"/>
        </w:rPr>
      </w:pPr>
      <w:r>
        <w:rPr>
          <w:rFonts w:ascii="Times New Roman" w:eastAsia="Times New Roman" w:hAnsi="Times New Roman" w:cs="Times New Roman"/>
          <w:lang w:val="en-GB"/>
        </w:rPr>
        <w:t>Further, a</w:t>
      </w:r>
      <w:r w:rsidR="00741BCF">
        <w:rPr>
          <w:rFonts w:ascii="Times New Roman" w:eastAsia="Times New Roman" w:hAnsi="Times New Roman" w:cs="Times New Roman"/>
          <w:lang w:val="en-GB"/>
        </w:rPr>
        <w:t>s mentioned, in both</w:t>
      </w:r>
      <w:r w:rsidR="00813252" w:rsidRPr="00693CA1">
        <w:rPr>
          <w:rFonts w:ascii="Times New Roman" w:eastAsia="Times New Roman" w:hAnsi="Times New Roman" w:cs="Times New Roman"/>
          <w:lang w:val="en-GB"/>
        </w:rPr>
        <w:t xml:space="preserve"> Spain</w:t>
      </w:r>
      <w:r w:rsidR="00741BCF">
        <w:rPr>
          <w:rFonts w:ascii="Times New Roman" w:eastAsia="Times New Roman" w:hAnsi="Times New Roman" w:cs="Times New Roman"/>
          <w:lang w:val="en-GB"/>
        </w:rPr>
        <w:t xml:space="preserve"> and Turkey</w:t>
      </w:r>
      <w:r w:rsidR="00813252" w:rsidRPr="00693CA1">
        <w:rPr>
          <w:rFonts w:ascii="Times New Roman" w:eastAsia="Times New Roman" w:hAnsi="Times New Roman" w:cs="Times New Roman"/>
          <w:lang w:val="en-GB"/>
        </w:rPr>
        <w:t xml:space="preserve">, an important mode of HIV transmission </w:t>
      </w:r>
      <w:r w:rsidR="00741BCF">
        <w:rPr>
          <w:rFonts w:ascii="Times New Roman" w:eastAsia="Times New Roman" w:hAnsi="Times New Roman" w:cs="Times New Roman"/>
          <w:lang w:val="en-GB"/>
        </w:rPr>
        <w:t>is</w:t>
      </w:r>
      <w:r w:rsidR="00813252">
        <w:rPr>
          <w:rFonts w:ascii="Times New Roman" w:eastAsia="Times New Roman" w:hAnsi="Times New Roman" w:cs="Times New Roman"/>
          <w:lang w:val="en-GB"/>
        </w:rPr>
        <w:t xml:space="preserve"> </w:t>
      </w:r>
      <w:r w:rsidR="00813252" w:rsidRPr="00693CA1">
        <w:rPr>
          <w:rFonts w:ascii="Times New Roman" w:eastAsia="Times New Roman" w:hAnsi="Times New Roman" w:cs="Times New Roman"/>
          <w:lang w:val="en-GB"/>
        </w:rPr>
        <w:t xml:space="preserve">sex between men (30.6% in Turkey </w:t>
      </w:r>
      <w:r w:rsidR="00813252">
        <w:rPr>
          <w:rFonts w:ascii="Times New Roman" w:eastAsia="Times New Roman" w:hAnsi="Times New Roman" w:cs="Times New Roman"/>
          <w:lang w:val="en-GB"/>
        </w:rPr>
        <w:t xml:space="preserve">and </w:t>
      </w:r>
      <w:r w:rsidR="00813252" w:rsidRPr="00693CA1">
        <w:rPr>
          <w:rFonts w:ascii="Times New Roman" w:eastAsia="Times New Roman" w:hAnsi="Times New Roman" w:cs="Times New Roman"/>
          <w:lang w:val="en-GB"/>
        </w:rPr>
        <w:t>38% in Spain)</w:t>
      </w:r>
      <w:r w:rsidR="00813252">
        <w:rPr>
          <w:rFonts w:ascii="Times New Roman" w:eastAsia="Times New Roman" w:hAnsi="Times New Roman" w:cs="Times New Roman"/>
          <w:lang w:val="en-GB"/>
        </w:rPr>
        <w:t xml:space="preserve"> </w:t>
      </w:r>
      <w:r w:rsidR="00813252">
        <w:rPr>
          <w:rFonts w:ascii="Times New Roman" w:eastAsia="Times New Roman" w:hAnsi="Times New Roman" w:cs="Times New Roman"/>
          <w:lang w:val="en-GB"/>
        </w:rPr>
        <w:fldChar w:fldCharType="begin"/>
      </w:r>
      <w:r w:rsidR="00813252">
        <w:rPr>
          <w:rFonts w:ascii="Times New Roman" w:eastAsia="Times New Roman" w:hAnsi="Times New Roman" w:cs="Times New Roman"/>
          <w:lang w:val="en-GB"/>
        </w:rPr>
        <w:instrText xml:space="preserve"> ADDIN ZOTERO_ITEM CSL_CITATION {"citationID":"6T0wR6ES","properties":{"formattedCitation":"(Erdinc et al., 2020)","plainCitation":"(Erdinc et al., 2020)","noteIndex":0},"citationItems":[{"id":1732,"uris":["http://zotero.org/users/5061103/items/WJBXIVSL"],"uri":["http://zotero.org/users/5061103/items/WJBXIVSL"],"itemData":{"id":1732,"type":"article-journal","abstract":"Method: Thirty-four teams from 28 centers at 17 different cities participated in this retrospective study. Participating centers were asked to complete a structured form containing questions about epidemiologic, demographic and clinical characteristics of patients presented with new HIV diagnosis between 2011 and 2016. Demographic data from all centers (complete or partial) were included in the analyses. For the cascade of care analysis, 15 centers that provided full data from 2011 to 2016 were included. Overall and annual distributions of the data were calculated as percentages and the Chi square test was used to determine temporal changes.\nResults: A total of 2,953 patients between 2011 and 2016 were included. Overall male to female ratio was 5:1 with a significant increase in the number of male cases from 2011 to 2016 (p&lt;0.001). The highest prevalence was among those aged 25-34 years followed by the 35-44 age bracket. The most common reason for HIV testing was illness (35%). While the frequency of sex among men who have sex with men increased from 16% to 30.6% (p&lt;0.001) over the study period, heterosexual intercourse (53%) was found to be the most common transmission route. Overall, 29% of the cases presented with a CD4 count of &gt;500 cells/mm3 while 46.7% presented with a CD4 T cell count of &lt;350 cells/mm3. Among newly diagnosed cases, 79% were retained in care, and all such cases initiated ART with 73% achieving viral suppression after six months of antiretroviral therapy.\nConclusion: The epidemiologic profile of HIV infected individuals is changing rapidly in Turkey with an increasing trend in the number of newly diagnosed people disclosing themselves as MSM. New diagnoses were mostly at a young age. The late diagnosis was found to be a challenging issue. Despite the unavailability of data for the first 90, Turkey is close to the last two steps of 90-90-90 targets.","container-title":"Current HIV Research","DOI":"10.2174/1570162X18666200427223823","ISSN":"1570162X","issue":"4","journalAbbreviation":"CHR","language":"en","page":"258-266","source":"DOI.org (Crossref)","title":"Temporal Trends in the Epidemiology of HIV in Turkey","volume":"18","author":[{"family":"Erdinc","given":"F.S."},{"family":"Dokuzoguz","given":"B."},{"family":"Unal","given":"S."},{"family":"Komur","given":"S."},{"family":"Inkaya","given":"A.C."},{"family":"Inan","given":"D."},{"family":"Karaoglan","given":"I."},{"family":"Deveci","given":"A."},{"family":"Celen","given":"M.K."},{"family":"Kose","given":"S."},{"family":"Erben","given":"N."},{"family":"Senturk","given":"G.C."},{"family":"Heper","given":"Y."},{"family":"Kutlu","given":"S.S."},{"family":"Hatipoglu","given":"C.A."},{"family":"Sumer","given":"S."},{"family":"Kandemir","given":"B."},{"family":"Sirmatel","given":"F."},{"family":"Bayindir","given":"Y."},{"family":"Yilmaz","given":"E."},{"family":"Ersoy","given":"Y."},{"family":"Kazak","given":"E."},{"family":"Yildirmak","given":"M.T."},{"family":"Kayaaslan","given":"B."},{"family":"Ozden","given":"K."},{"family":"Sener","given":"A."},{"family":"Kara","given":"A."},{"family":"Gunal","given":"O."},{"family":"Birengel","given":"S."},{"family":"Akbulut","given":"A."},{"family":"Yetkin","given":"F."},{"family":"Cuvalci","given":"N.O."},{"family":"Sargin","given":"F."},{"family":"Pullukcu","given":"H."},{"family":"Gökengin","given":"D."},{"literal":"Multicentric HIV Study Group"}],"issued":{"date-parts":[["2020",9,8]]}}}],"schema":"https://github.com/citation-style-language/schema/raw/master/csl-citation.json"} </w:instrText>
      </w:r>
      <w:r w:rsidR="00813252">
        <w:rPr>
          <w:rFonts w:ascii="Times New Roman" w:eastAsia="Times New Roman" w:hAnsi="Times New Roman" w:cs="Times New Roman"/>
          <w:lang w:val="en-GB"/>
        </w:rPr>
        <w:fldChar w:fldCharType="separate"/>
      </w:r>
      <w:r w:rsidR="00813252">
        <w:rPr>
          <w:rFonts w:ascii="Times New Roman" w:eastAsia="Times New Roman" w:hAnsi="Times New Roman" w:cs="Times New Roman"/>
          <w:noProof/>
          <w:lang w:val="en-GB"/>
        </w:rPr>
        <w:t>(Erdinc et al., 2020)</w:t>
      </w:r>
      <w:r w:rsidR="00813252">
        <w:rPr>
          <w:rFonts w:ascii="Times New Roman" w:eastAsia="Times New Roman" w:hAnsi="Times New Roman" w:cs="Times New Roman"/>
          <w:lang w:val="en-GB"/>
        </w:rPr>
        <w:fldChar w:fldCharType="end"/>
      </w:r>
      <w:r w:rsidR="00813252">
        <w:rPr>
          <w:rFonts w:ascii="Times New Roman" w:eastAsia="Times New Roman" w:hAnsi="Times New Roman" w:cs="Times New Roman"/>
          <w:lang w:val="en-GB"/>
        </w:rPr>
        <w:t>. However, c</w:t>
      </w:r>
      <w:r w:rsidR="00813252" w:rsidRPr="00F10536">
        <w:rPr>
          <w:rFonts w:ascii="Times New Roman" w:eastAsia="Times New Roman" w:hAnsi="Times New Roman" w:cs="Times New Roman"/>
          <w:lang w:val="en-GB"/>
        </w:rPr>
        <w:t xml:space="preserve">ompared to MSM in Spain, MSM in Turkey suffer from </w:t>
      </w:r>
      <w:r w:rsidR="00C368B2">
        <w:rPr>
          <w:rFonts w:ascii="Times New Roman" w:eastAsia="Times New Roman" w:hAnsi="Times New Roman" w:cs="Times New Roman"/>
          <w:lang w:val="en-GB"/>
        </w:rPr>
        <w:t xml:space="preserve">a </w:t>
      </w:r>
      <w:r w:rsidR="00813252" w:rsidRPr="00F10536">
        <w:rPr>
          <w:rFonts w:ascii="Times New Roman" w:eastAsia="Times New Roman" w:hAnsi="Times New Roman" w:cs="Times New Roman"/>
          <w:lang w:val="en-GB"/>
        </w:rPr>
        <w:t xml:space="preserve">lack of health services that are tailored for them </w:t>
      </w:r>
      <w:r w:rsidR="00813252" w:rsidRPr="00F10536">
        <w:rPr>
          <w:rFonts w:ascii="Times New Roman" w:eastAsia="Times New Roman" w:hAnsi="Times New Roman" w:cs="Times New Roman"/>
          <w:lang w:val="en-GB"/>
        </w:rPr>
        <w:fldChar w:fldCharType="begin"/>
      </w:r>
      <w:r w:rsidR="00813252" w:rsidRPr="00F10536">
        <w:rPr>
          <w:rFonts w:ascii="Times New Roman" w:eastAsia="Times New Roman" w:hAnsi="Times New Roman" w:cs="Times New Roman"/>
          <w:lang w:val="en-GB"/>
        </w:rPr>
        <w:instrText xml:space="preserve"> ADDIN ZOTERO_ITEM CSL_CITATION {"citationID":"z14e0aOc","properties":{"formattedCitation":"(Doran et al., 2021; Schmidt et al., 2013)","plainCitation":"(Doran et al., 2021; Schmidt et al., 2013)","noteIndex":0},"citationItems":[{"id":1729,"uris":["http://zotero.org/users/5061103/items/JPGNF6UK"],"uri":["http://zotero.org/users/5061103/items/JPGNF6UK"],"itemData":{"id":1729,"type":"article-journal","abstract":"Objectives  Rectal STIs compromise health and are common in men who have sex with men (MSM). However, the European-­MSM-­Internet-­Survey (EMIS2010) showed that in 2010, the prevalence of anal swabbing during STI screening by MSM varied widely across 40 European cities. In this paper, we replicate a variety of measures of STI testing performance using 2017–18 data and extending the geographic spread of the analysis.\nMethods  Data were analysed from the EMIS-2017, a 33-­language online sexual health survey accessible from 18 October 2017 to 31 January 2018. We focus on a subsample of 38 439 respondents living in the same 40 European cities we reported on in 2010. For a broader perspective, we also included an additional 65 cities in the analysis (combined n=56 661). We compared the prevalence of STI screening in MSM and disclosure of same-s­ ex sexual contacts to the healthcare provider. We applied multivariable logistic regression models to compare the odds of MSM receiving each of four diagnostic procedures, including anal swabbing in the previous 12 months, controlling for age, HIV diagnosis, pre-­exposure prophylaxis use and number of sexual partners.\nResults  In 2017, across 40 European cities, the proportion of respondents screened for STIs ranged from under 19% in Belgrade to over 59% in London. At an individual level, in comparison to London, the adjusted OR (AOR) of having received anal swabbing ranged from 0.03 in Belgrade, Bucharest and Istanbul to 0.80 in Oslo, with little evidence for a difference in Amsterdam and Dublin. Since 2010, most cities in West and South-w­ est Europe have substantially narrowed their performance gap with London, but some in East and South-e­ ast Europe have seen the gap increase.\nConclusions  Although comprehensive STI screening in MSM has expanded across many European cities, the low prevalence of anal swabbing indicates that rectal STIs continue to be underdiagnosed, particularly in East/ South-e­ ast Europe.","container-title":"Sexually Transmitted Infections","DOI":"10.1136/sextrans-2020-054681","ISSN":"1368-4973, 1472-3263","issue":"3","journalAbbreviation":"Sex Transm Infect","language":"en","page":"201-208","source":"DOI.org (Crossref)","title":"An update on the performance of STI services for gay and bisexual men across European cities: results from the 2017 European MSM Internet Survey","title-short":"An update on the performance of STI services for gay and bisexual men across European cities","volume":"97","author":[{"family":"Doran","given":"Jason"},{"family":"Weatherburn","given":"Peter"},{"family":"Hickson","given":"Ford"},{"family":"Marcus","given":"Ulrich"},{"family":"Reid","given":"David"},{"family":"Schmidt","given":"Axel Jeremias"}],"issued":{"date-parts":[["2021",5]]}}},{"id":1730,"uris":["http://zotero.org/users/5061103/items/8VJU2SSP"],"uri":["http://zotero.org/users/5061103/items/8VJU2SSP"],"itemData":{"id":1730,"type":"article-journal","abstract":"Objectives Sexually transmitted infections (STIs) such as anal/genital warts, syphilis and genital/rectal gonorrhoeal/chlamydial infections compromise the health of men who have sex with men (MSM). Rectal bacterial STIs increase the per-contact risk of HIV infection. Early detection of asymptomatic STIs requires regular screening including collection of clinical specimens (or, for warts: physical examinations) that allow for the detection of infections at sites common to men’s same sex practices.\nMethods From June to August 2010, the European MSM Internet Survey recruited 174 209 men from 38 European countries to an anonymous online questionnaire in 25 languages. As sexual healthcare for MSM in most countries is organised locally, we chose cities for comparison. Multivariable regression models were used to compare accessibility of services and applied diagnostic procedures across 40 cities.\nResults The proportion of respondents tested for STIs in the last 12 months in the absence of symptoms ranged from 8.9% in Istanbul to 48.0% in Amsterdam. At city level, low STI screening correlated with inaccessible services (R2=44.1%). At individual level, anal/penile inspection and anal swabbing was most common in UK cities, Amsterdam, Dublin and Stockholm. Compared to London, MSM in 30 cities had an adjusted OR (AOR) of (0.02 to 0.18) for anal swabbing; and (0.06 to 0.25) for anal/penile inspection ( p&lt;0.001).\nConclusions Anal/genital warts and rectal infections are likely to be profoundly underdiagnosed among MSM in most European cities. This has implications for the sexual health of MSM, HIV prevention and comparing national surveillance data. There is an urgent need to improve sexual healthcare tailored to MSM at risk for STIs.","container-title":"Sexually Transmitted Infections","DOI":"10.1136/sextrans-2012-050973","ISSN":"1368-4973, 1472-3263","issue":"7","journalAbbreviation":"Sex Transm Infect","language":"en","page":"575-582","source":"DOI.org (Crossref)","title":"Comparison of the performance of STI Screening Services for gay and bisexual men across 40 European cities: results from the European MSM Internet Survey","title-short":"Comparison of the performance of STI Screening Services for gay and bisexual men across 40 European cities","volume":"89","author":[{"family":"Schmidt","given":"Axel J"},{"family":"Hickson","given":"Ford"},{"family":"Weatherburn","given":"Peter"},{"family":"Marcus","given":"Ulrich"},{"literal":"The EMIS Network"}],"issued":{"date-parts":[["2013",11]]}}}],"schema":"https://github.com/citation-style-language/schema/raw/master/csl-citation.json"} </w:instrText>
      </w:r>
      <w:r w:rsidR="00813252" w:rsidRPr="00F10536">
        <w:rPr>
          <w:rFonts w:ascii="Times New Roman" w:eastAsia="Times New Roman" w:hAnsi="Times New Roman" w:cs="Times New Roman"/>
          <w:lang w:val="en-GB"/>
        </w:rPr>
        <w:fldChar w:fldCharType="separate"/>
      </w:r>
      <w:r w:rsidR="00813252" w:rsidRPr="00F10536">
        <w:rPr>
          <w:rFonts w:ascii="Times New Roman" w:eastAsia="Times New Roman" w:hAnsi="Times New Roman" w:cs="Times New Roman"/>
          <w:lang w:val="en-GB"/>
        </w:rPr>
        <w:t>(Doran et al., 2021; Schmidt et al., 2013)</w:t>
      </w:r>
      <w:r w:rsidR="00813252" w:rsidRPr="00F10536">
        <w:rPr>
          <w:rFonts w:ascii="Times New Roman" w:eastAsia="Times New Roman" w:hAnsi="Times New Roman" w:cs="Times New Roman"/>
          <w:lang w:val="en-GB"/>
        </w:rPr>
        <w:fldChar w:fldCharType="end"/>
      </w:r>
      <w:r w:rsidR="00813252" w:rsidRPr="00F10536">
        <w:rPr>
          <w:rFonts w:ascii="Times New Roman" w:eastAsia="Times New Roman" w:hAnsi="Times New Roman" w:cs="Times New Roman"/>
          <w:lang w:val="en-GB"/>
        </w:rPr>
        <w:t xml:space="preserve">. </w:t>
      </w:r>
      <w:r>
        <w:rPr>
          <w:rFonts w:ascii="Times New Roman" w:eastAsia="Times New Roman" w:hAnsi="Times New Roman" w:cs="Times New Roman"/>
          <w:lang w:val="en-GB"/>
        </w:rPr>
        <w:t>T</w:t>
      </w:r>
      <w:r w:rsidR="00813252">
        <w:rPr>
          <w:rFonts w:ascii="Times New Roman" w:eastAsia="Times New Roman" w:hAnsi="Times New Roman" w:cs="Times New Roman"/>
          <w:lang w:val="en-GB"/>
        </w:rPr>
        <w:t>he</w:t>
      </w:r>
      <w:r w:rsidR="00813252" w:rsidRPr="00EB5A6D">
        <w:rPr>
          <w:rFonts w:ascii="Times New Roman" w:eastAsia="Times New Roman" w:hAnsi="Times New Roman" w:cs="Times New Roman"/>
          <w:lang w:val="en-GB"/>
        </w:rPr>
        <w:t xml:space="preserve"> European </w:t>
      </w:r>
      <w:r w:rsidR="007660A3">
        <w:rPr>
          <w:rFonts w:ascii="Times New Roman" w:eastAsia="Times New Roman" w:hAnsi="Times New Roman" w:cs="Times New Roman"/>
          <w:lang w:val="en-GB"/>
        </w:rPr>
        <w:t xml:space="preserve">MSM </w:t>
      </w:r>
      <w:r w:rsidR="00813252" w:rsidRPr="00EB5A6D">
        <w:rPr>
          <w:rFonts w:ascii="Times New Roman" w:eastAsia="Times New Roman" w:hAnsi="Times New Roman" w:cs="Times New Roman"/>
          <w:lang w:val="en-GB"/>
        </w:rPr>
        <w:t>Internet Survey</w:t>
      </w:r>
      <w:r w:rsidR="00813252">
        <w:rPr>
          <w:rFonts w:ascii="Times New Roman" w:eastAsia="Times New Roman" w:hAnsi="Times New Roman" w:cs="Times New Roman"/>
          <w:lang w:val="en-GB"/>
        </w:rPr>
        <w:t xml:space="preserve"> (EMIS</w:t>
      </w:r>
      <w:r w:rsidR="00BE5F0A">
        <w:rPr>
          <w:rFonts w:ascii="Times New Roman" w:eastAsia="Times New Roman" w:hAnsi="Times New Roman" w:cs="Times New Roman"/>
          <w:lang w:val="en-GB"/>
        </w:rPr>
        <w:t>-2017</w:t>
      </w:r>
      <w:r w:rsidR="00813252">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showed that </w:t>
      </w:r>
      <w:r w:rsidR="00813252">
        <w:rPr>
          <w:rFonts w:ascii="Times New Roman" w:eastAsia="Times New Roman" w:hAnsi="Times New Roman" w:cs="Times New Roman"/>
          <w:lang w:val="en-GB"/>
        </w:rPr>
        <w:t>while 12.6% of MSM reported lacking control of safer sex in Spain, this rate was 16.7% in Turkey</w:t>
      </w:r>
      <w:r w:rsidR="0028392A">
        <w:rPr>
          <w:rFonts w:ascii="Times New Roman" w:eastAsia="Times New Roman" w:hAnsi="Times New Roman" w:cs="Times New Roman"/>
          <w:lang w:val="en-GB"/>
        </w:rPr>
        <w:t xml:space="preserve"> </w:t>
      </w:r>
      <w:r w:rsidR="0028392A">
        <w:rPr>
          <w:rFonts w:ascii="Times New Roman" w:eastAsia="Times New Roman" w:hAnsi="Times New Roman" w:cs="Times New Roman"/>
          <w:lang w:val="en-GB"/>
        </w:rPr>
        <w:fldChar w:fldCharType="begin"/>
      </w:r>
      <w:r w:rsidR="006C7BCD">
        <w:rPr>
          <w:rFonts w:ascii="Times New Roman" w:eastAsia="Times New Roman" w:hAnsi="Times New Roman" w:cs="Times New Roman"/>
          <w:lang w:val="en-GB"/>
        </w:rPr>
        <w:instrText xml:space="preserve"> ADDIN ZOTERO_ITEM CSL_CITATION {"citationID":"0h5DjNea","properties":{"formattedCitation":"(The EMIS Network, 2013, 2019)","plainCitation":"(The EMIS Network, 2013, 2019)","noteIndex":0},"citationItems":[{"id":1851,"uris":["http://zotero.org/users/5061103/items/9U6G3XR2"],"uri":["http://zotero.org/users/5061103/items/9U6G3XR2"],"itemData":{"id":1851,"type":"report","event-place":"Stockholm","language":"en","publisher":"European Centre for Disease Prevention and Control","publisher-place":"Stockholm","source":"DOI.org (CSL JSON)","title":"EMIS 2010-The European Men-Who-Have-Sex-With-Men Internet Survey: Findings from 38 countries.","title-short":"EMIS 2010, the European men-who-have-sex-with-men internet survey","URL":"https://data.europa.eu/doi/10.2900/79639","author":[{"literal":"The EMIS Network"}],"accessed":{"date-parts":[["2021",11,17]]},"issued":{"date-parts":[["2013"]]}}},{"id":1629,"uris":["http://zotero.org/users/5061103/items/D6U62E9C"],"uri":["http://zotero.org/users/5061103/items/D6U62E9C"],"itemData":{"id":1629,"type":"report","event-place":"Stockholm","language":"en","publisher":"European Centre for Disease Prevention and Control","publisher-place":"Stockholm","source":"DOI.org (CSL JSON)","title":"EMIS-2017: European Men-Who-Have-Sex-With-Men Internet Survey: Key findings from 50 countries.","title-short":"EMIS-2017","URL":"https://data.europa.eu/doi/10.2900/690387","author":[{"literal":"The EMIS Network"}],"accessed":{"date-parts":[["2021",9,16]]},"issued":{"date-parts":[["2019"]]}}}],"schema":"https://github.com/citation-style-language/schema/raw/master/csl-citation.json"} </w:instrText>
      </w:r>
      <w:r w:rsidR="0028392A">
        <w:rPr>
          <w:rFonts w:ascii="Times New Roman" w:eastAsia="Times New Roman" w:hAnsi="Times New Roman" w:cs="Times New Roman"/>
          <w:lang w:val="en-GB"/>
        </w:rPr>
        <w:fldChar w:fldCharType="separate"/>
      </w:r>
      <w:r w:rsidR="0028392A">
        <w:rPr>
          <w:rFonts w:ascii="Times New Roman" w:eastAsia="Times New Roman" w:hAnsi="Times New Roman" w:cs="Times New Roman"/>
          <w:noProof/>
          <w:lang w:val="en-GB"/>
        </w:rPr>
        <w:t>(The EMIS Network, 2013, 2019)</w:t>
      </w:r>
      <w:r w:rsidR="0028392A">
        <w:rPr>
          <w:rFonts w:ascii="Times New Roman" w:eastAsia="Times New Roman" w:hAnsi="Times New Roman" w:cs="Times New Roman"/>
          <w:lang w:val="en-GB"/>
        </w:rPr>
        <w:fldChar w:fldCharType="end"/>
      </w:r>
      <w:r w:rsidR="00813252">
        <w:rPr>
          <w:rFonts w:ascii="Times New Roman" w:eastAsia="Times New Roman" w:hAnsi="Times New Roman" w:cs="Times New Roman"/>
          <w:lang w:val="en-GB"/>
        </w:rPr>
        <w:t xml:space="preserve">. Similarly, in the same </w:t>
      </w:r>
      <w:r>
        <w:rPr>
          <w:rFonts w:ascii="Times New Roman" w:eastAsia="Times New Roman" w:hAnsi="Times New Roman" w:cs="Times New Roman"/>
          <w:lang w:val="en-GB"/>
        </w:rPr>
        <w:t>study</w:t>
      </w:r>
      <w:r w:rsidR="00813252">
        <w:rPr>
          <w:rFonts w:ascii="Times New Roman" w:eastAsia="Times New Roman" w:hAnsi="Times New Roman" w:cs="Times New Roman"/>
          <w:lang w:val="en-GB"/>
        </w:rPr>
        <w:t xml:space="preserve">, MSM in Turkey reported less awareness of </w:t>
      </w:r>
      <w:proofErr w:type="spellStart"/>
      <w:r w:rsidR="00813252">
        <w:rPr>
          <w:rFonts w:ascii="Times New Roman" w:eastAsia="Times New Roman" w:hAnsi="Times New Roman" w:cs="Times New Roman"/>
          <w:lang w:val="en-GB"/>
        </w:rPr>
        <w:t>PrEP</w:t>
      </w:r>
      <w:proofErr w:type="spellEnd"/>
      <w:r w:rsidR="00813252">
        <w:rPr>
          <w:rFonts w:ascii="Times New Roman" w:eastAsia="Times New Roman" w:hAnsi="Times New Roman" w:cs="Times New Roman"/>
          <w:lang w:val="en-GB"/>
        </w:rPr>
        <w:t xml:space="preserve">, less certainty about their HIV status, and less social support in general when compared to MSM in Spain. </w:t>
      </w:r>
      <w:r w:rsidR="00614203">
        <w:rPr>
          <w:rFonts w:ascii="Times New Roman" w:eastAsia="Times New Roman" w:hAnsi="Times New Roman" w:cs="Times New Roman"/>
          <w:lang w:val="en-GB"/>
        </w:rPr>
        <w:t xml:space="preserve">Unfortunately, </w:t>
      </w:r>
      <w:r w:rsidR="00C74339">
        <w:rPr>
          <w:rFonts w:ascii="Times New Roman" w:eastAsia="Times New Roman" w:hAnsi="Times New Roman" w:cs="Times New Roman"/>
          <w:lang w:val="en-GB"/>
        </w:rPr>
        <w:t xml:space="preserve">there are </w:t>
      </w:r>
      <w:r w:rsidR="00614203">
        <w:rPr>
          <w:rFonts w:ascii="Times New Roman" w:eastAsia="Times New Roman" w:hAnsi="Times New Roman" w:cs="Times New Roman"/>
          <w:lang w:val="en-GB"/>
        </w:rPr>
        <w:t xml:space="preserve">only a handful of empirical studies </w:t>
      </w:r>
      <w:r w:rsidR="00017D1C">
        <w:rPr>
          <w:rFonts w:ascii="Times New Roman" w:eastAsia="Times New Roman" w:hAnsi="Times New Roman" w:cs="Times New Roman"/>
          <w:lang w:val="en-GB"/>
        </w:rPr>
        <w:t xml:space="preserve">concerning Turkish MSM. </w:t>
      </w:r>
      <w:r w:rsidR="004446DB">
        <w:rPr>
          <w:rFonts w:ascii="Times New Roman" w:eastAsia="Times New Roman" w:hAnsi="Times New Roman" w:cs="Times New Roman"/>
          <w:lang w:val="en-GB"/>
        </w:rPr>
        <w:t>Among the few studies</w:t>
      </w:r>
      <w:r>
        <w:rPr>
          <w:rFonts w:ascii="Times New Roman" w:eastAsia="Times New Roman" w:hAnsi="Times New Roman" w:cs="Times New Roman"/>
          <w:lang w:val="en-GB"/>
        </w:rPr>
        <w:t xml:space="preserve"> is</w:t>
      </w:r>
      <w:r w:rsidR="004446DB">
        <w:rPr>
          <w:rFonts w:ascii="Times New Roman" w:eastAsia="Times New Roman" w:hAnsi="Times New Roman" w:cs="Times New Roman"/>
          <w:lang w:val="en-GB"/>
        </w:rPr>
        <w:t xml:space="preserve"> </w:t>
      </w:r>
      <w:r w:rsidR="00017D1C">
        <w:rPr>
          <w:rFonts w:ascii="Times New Roman" w:eastAsia="Times New Roman" w:hAnsi="Times New Roman" w:cs="Times New Roman"/>
          <w:lang w:val="en-GB"/>
        </w:rPr>
        <w:t>a cross-section</w:t>
      </w:r>
      <w:r>
        <w:rPr>
          <w:rFonts w:ascii="Times New Roman" w:eastAsia="Times New Roman" w:hAnsi="Times New Roman" w:cs="Times New Roman"/>
          <w:lang w:val="en-GB"/>
        </w:rPr>
        <w:t>al</w:t>
      </w:r>
      <w:r w:rsidR="00017D1C">
        <w:rPr>
          <w:rFonts w:ascii="Times New Roman" w:eastAsia="Times New Roman" w:hAnsi="Times New Roman" w:cs="Times New Roman"/>
          <w:lang w:val="en-GB"/>
        </w:rPr>
        <w:t xml:space="preserve"> study including 562 sexual minority men in Portugal and Turkey</w:t>
      </w:r>
      <w:r>
        <w:rPr>
          <w:rFonts w:ascii="Times New Roman" w:eastAsia="Times New Roman" w:hAnsi="Times New Roman" w:cs="Times New Roman"/>
          <w:lang w:val="en-GB"/>
        </w:rPr>
        <w:t>. It found that</w:t>
      </w:r>
      <w:r w:rsidR="00017D1C">
        <w:rPr>
          <w:rFonts w:ascii="Times New Roman" w:eastAsia="Times New Roman" w:hAnsi="Times New Roman" w:cs="Times New Roman"/>
          <w:lang w:val="en-GB"/>
        </w:rPr>
        <w:t xml:space="preserve"> Turkish men reported significantly higher </w:t>
      </w:r>
      <w:proofErr w:type="gramStart"/>
      <w:r>
        <w:rPr>
          <w:rFonts w:ascii="Times New Roman" w:eastAsia="Times New Roman" w:hAnsi="Times New Roman" w:cs="Times New Roman"/>
          <w:lang w:val="en-GB"/>
        </w:rPr>
        <w:t>IH</w:t>
      </w:r>
      <w:proofErr w:type="gramEnd"/>
      <w:r w:rsidR="00017D1C">
        <w:rPr>
          <w:rFonts w:ascii="Times New Roman" w:eastAsia="Times New Roman" w:hAnsi="Times New Roman" w:cs="Times New Roman"/>
          <w:lang w:val="en-GB"/>
        </w:rPr>
        <w:t xml:space="preserve"> and identity stigma compared to Portuguese men</w:t>
      </w:r>
      <w:r>
        <w:rPr>
          <w:rFonts w:ascii="Times New Roman" w:eastAsia="Times New Roman" w:hAnsi="Times New Roman" w:cs="Times New Roman"/>
          <w:lang w:val="en-GB"/>
        </w:rPr>
        <w:t>.</w:t>
      </w:r>
      <w:r w:rsidRPr="00D75DCB">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These differences, in turn, </w:t>
      </w:r>
      <w:r w:rsidR="00C74339">
        <w:rPr>
          <w:rFonts w:ascii="Times New Roman" w:eastAsia="Times New Roman" w:hAnsi="Times New Roman" w:cs="Times New Roman"/>
          <w:lang w:val="en-GB"/>
        </w:rPr>
        <w:t xml:space="preserve">were </w:t>
      </w:r>
      <w:r>
        <w:rPr>
          <w:rFonts w:ascii="Times New Roman" w:eastAsia="Times New Roman" w:hAnsi="Times New Roman" w:cs="Times New Roman"/>
          <w:lang w:val="en-GB"/>
        </w:rPr>
        <w:t xml:space="preserve">associated with Turkish men’s reduced probability of sexual identity disclosure to family and friends </w:t>
      </w:r>
      <w:r w:rsidR="00017D1C">
        <w:rPr>
          <w:rFonts w:ascii="Times New Roman" w:eastAsia="Times New Roman" w:hAnsi="Times New Roman" w:cs="Times New Roman"/>
          <w:lang w:val="en-GB"/>
        </w:rPr>
        <w:t xml:space="preserve"> </w:t>
      </w:r>
      <w:r w:rsidR="00017D1C">
        <w:rPr>
          <w:rFonts w:ascii="Times New Roman" w:eastAsia="Times New Roman" w:hAnsi="Times New Roman" w:cs="Times New Roman"/>
          <w:lang w:val="en-GB"/>
        </w:rPr>
        <w:fldChar w:fldCharType="begin"/>
      </w:r>
      <w:r w:rsidR="00017D1C">
        <w:rPr>
          <w:rFonts w:ascii="Times New Roman" w:eastAsia="Times New Roman" w:hAnsi="Times New Roman" w:cs="Times New Roman"/>
          <w:lang w:val="en-GB"/>
        </w:rPr>
        <w:instrText xml:space="preserve"> ADDIN ZOTERO_ITEM CSL_CITATION {"citationID":"IJMylQxN","properties":{"formattedCitation":"(Torres &amp; Rodrigues, 2021)","plainCitation":"(Torres &amp; Rodrigues, 2021)","noteIndex":0},"citationItems":[{"id":1627,"uris":["http://zotero.org/users/5061103/items/8WZHSN4F"],"uri":["http://zotero.org/users/5061103/items/8WZHSN4F"],"itemData":{"id":1627,"type":"article-journal","abstract":"Introduction  Studies examining why heteronormative beliefs shape the coming out process of sexual minority men are still scarce. This study aimed to examine whether heteronormative beliefs result in more internalized homonegativity and more sexual identity stigma. We also compared socio-cultural contexts—Portugal and Turkey—with distinct social policies toward sexual minority people. Lastly, we explored the correlates of coming out to friends and family members.\nMethods  A cross-sectional study with 562 sexual minority men (93.4% cisgender; Mage = 26.69, SD = 9.59) from Portugal and Turkey was conducted between March and July 2019.\nResults  Heteronormative beliefs were associated with increased internalized homonegativity and, in turn, with increased sexual identity stigma (identity stigma and social discomfort). This mediation was moderated by country, such that conditional direct effects were stronger among Turkish sexual minority men. Conditional indirect effects, however, were stronger among Portuguese sexual minority men. Furthermore, less internalized homonegativity and less social discomfort were associated with coming out to friends and family members in different ways.\nConclusions  This study contributed to the understanding of sexual identity development and acceptance among sexual minority men in two distinct socio-cultural contexts. Findings showed that the internalization of heteronormative beliefs was associated with identity stigma and highlighted the role of socialization in these processes.","container-title":"Sexuality Research and Social Policy","DOI":"10.1007/s13178-021-00582-x","ISSN":"1868-9884, 1553-6610","journalAbbreviation":"Sex Res Soc Policy","language":"en","source":"DOI.org (Crossref)","title":"Heteronormative Beliefs and Internalized Homonegativity in the Coming Out Process of Portuguese and Turkish Sexual Minority Men","URL":"https://link.springer.com/10.1007/s13178-021-00582-x","author":[{"family":"Torres","given":"César Alexander"},{"family":"Rodrigues","given":"David L."}],"accessed":{"date-parts":[["2021",9,16]]},"issued":{"date-parts":[["2021",4,15]]}}}],"schema":"https://github.com/citation-style-language/schema/raw/master/csl-citation.json"} </w:instrText>
      </w:r>
      <w:r w:rsidR="00017D1C">
        <w:rPr>
          <w:rFonts w:ascii="Times New Roman" w:eastAsia="Times New Roman" w:hAnsi="Times New Roman" w:cs="Times New Roman"/>
          <w:lang w:val="en-GB"/>
        </w:rPr>
        <w:fldChar w:fldCharType="separate"/>
      </w:r>
      <w:r w:rsidR="00017D1C">
        <w:rPr>
          <w:rFonts w:ascii="Times New Roman" w:eastAsia="Times New Roman" w:hAnsi="Times New Roman" w:cs="Times New Roman"/>
          <w:noProof/>
          <w:lang w:val="en-GB"/>
        </w:rPr>
        <w:t>(Torres &amp; Rodrigues, 2021)</w:t>
      </w:r>
      <w:r w:rsidR="00017D1C">
        <w:rPr>
          <w:rFonts w:ascii="Times New Roman" w:eastAsia="Times New Roman" w:hAnsi="Times New Roman" w:cs="Times New Roman"/>
          <w:lang w:val="en-GB"/>
        </w:rPr>
        <w:fldChar w:fldCharType="end"/>
      </w:r>
      <w:r w:rsidR="00017D1C">
        <w:rPr>
          <w:rFonts w:ascii="Times New Roman" w:eastAsia="Times New Roman" w:hAnsi="Times New Roman" w:cs="Times New Roman"/>
          <w:lang w:val="en-GB"/>
        </w:rPr>
        <w:t xml:space="preserve">. </w:t>
      </w:r>
    </w:p>
    <w:p w14:paraId="6D19BA86" w14:textId="31D42897" w:rsidR="001A49C0" w:rsidRDefault="00696DE0">
      <w:pPr>
        <w:spacing w:line="276" w:lineRule="auto"/>
        <w:ind w:firstLine="720"/>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Given the </w:t>
      </w:r>
      <w:r w:rsidR="00F55F24">
        <w:rPr>
          <w:rFonts w:ascii="Times New Roman" w:eastAsia="Times New Roman" w:hAnsi="Times New Roman" w:cs="Times New Roman"/>
          <w:lang w:val="en-GB"/>
        </w:rPr>
        <w:t xml:space="preserve">inconsistent evidence regarding the relationship between IH and SRB, the uncertainty of the influence of moderators, the </w:t>
      </w:r>
      <w:r>
        <w:rPr>
          <w:rFonts w:ascii="Times New Roman" w:eastAsia="Times New Roman" w:hAnsi="Times New Roman" w:cs="Times New Roman"/>
          <w:lang w:val="en-GB"/>
        </w:rPr>
        <w:t xml:space="preserve">contextual differences between Spain and Turkey, </w:t>
      </w:r>
      <w:r w:rsidR="00F55F24">
        <w:rPr>
          <w:rFonts w:ascii="Times New Roman" w:eastAsia="Times New Roman" w:hAnsi="Times New Roman" w:cs="Times New Roman"/>
          <w:lang w:val="en-GB"/>
        </w:rPr>
        <w:t>and the limited research on IH in Turkey, further research on</w:t>
      </w:r>
      <w:r w:rsidR="00F55F24" w:rsidRPr="001A49C0">
        <w:rPr>
          <w:rFonts w:ascii="Times New Roman" w:eastAsia="Times New Roman" w:hAnsi="Times New Roman" w:cs="Times New Roman"/>
          <w:lang w:val="en-GB"/>
        </w:rPr>
        <w:t xml:space="preserve"> </w:t>
      </w:r>
      <w:r w:rsidR="00F55F24">
        <w:rPr>
          <w:rFonts w:ascii="Times New Roman" w:eastAsia="Times New Roman" w:hAnsi="Times New Roman" w:cs="Times New Roman"/>
          <w:lang w:val="en-GB"/>
        </w:rPr>
        <w:t>IH is important. D</w:t>
      </w:r>
      <w:r>
        <w:rPr>
          <w:rFonts w:ascii="Times New Roman" w:eastAsia="Times New Roman" w:hAnsi="Times New Roman" w:cs="Times New Roman"/>
          <w:lang w:val="en-GB"/>
        </w:rPr>
        <w:t>ocument</w:t>
      </w:r>
      <w:r w:rsidR="00F55F24">
        <w:rPr>
          <w:rFonts w:ascii="Times New Roman" w:eastAsia="Times New Roman" w:hAnsi="Times New Roman" w:cs="Times New Roman"/>
          <w:lang w:val="en-GB"/>
        </w:rPr>
        <w:t>ing</w:t>
      </w:r>
      <w:r>
        <w:rPr>
          <w:rFonts w:ascii="Times New Roman" w:eastAsia="Times New Roman" w:hAnsi="Times New Roman" w:cs="Times New Roman"/>
          <w:lang w:val="en-GB"/>
        </w:rPr>
        <w:t xml:space="preserve"> </w:t>
      </w:r>
      <w:r w:rsidR="00F55F24">
        <w:rPr>
          <w:rFonts w:ascii="Times New Roman" w:eastAsia="Times New Roman" w:hAnsi="Times New Roman" w:cs="Times New Roman"/>
          <w:lang w:val="en-GB"/>
        </w:rPr>
        <w:t>the association</w:t>
      </w:r>
      <w:r w:rsidR="00F55F24" w:rsidRPr="001A49C0">
        <w:rPr>
          <w:rFonts w:ascii="Times New Roman" w:eastAsia="Times New Roman" w:hAnsi="Times New Roman" w:cs="Times New Roman"/>
          <w:lang w:val="en-GB"/>
        </w:rPr>
        <w:t xml:space="preserve"> between IH and SRB</w:t>
      </w:r>
      <w:r w:rsidR="00F55F24">
        <w:rPr>
          <w:rFonts w:ascii="Times New Roman" w:eastAsia="Times New Roman" w:hAnsi="Times New Roman" w:cs="Times New Roman"/>
          <w:lang w:val="en-GB"/>
        </w:rPr>
        <w:t xml:space="preserve"> and </w:t>
      </w:r>
      <w:r>
        <w:rPr>
          <w:rFonts w:ascii="Times New Roman" w:eastAsia="Times New Roman" w:hAnsi="Times New Roman" w:cs="Times New Roman"/>
          <w:lang w:val="en-GB"/>
        </w:rPr>
        <w:t xml:space="preserve">possible mediator variables of this relationship within both </w:t>
      </w:r>
      <w:r w:rsidR="00F55F24">
        <w:rPr>
          <w:rFonts w:ascii="Times New Roman" w:eastAsia="Times New Roman" w:hAnsi="Times New Roman" w:cs="Times New Roman"/>
          <w:lang w:val="en-GB"/>
        </w:rPr>
        <w:t>Spain and Turkey will help</w:t>
      </w:r>
      <w:r>
        <w:rPr>
          <w:rFonts w:ascii="Times New Roman" w:eastAsia="Times New Roman" w:hAnsi="Times New Roman" w:cs="Times New Roman"/>
          <w:lang w:val="en-GB"/>
        </w:rPr>
        <w:t xml:space="preserve"> determine varying needs in prevention efforts. </w:t>
      </w:r>
      <w:r w:rsidR="001D786F">
        <w:rPr>
          <w:rFonts w:ascii="Times New Roman" w:eastAsia="Times New Roman" w:hAnsi="Times New Roman" w:cs="Times New Roman"/>
          <w:lang w:val="en-GB"/>
        </w:rPr>
        <w:t xml:space="preserve">Thus, </w:t>
      </w:r>
      <w:r w:rsidR="00F55F24">
        <w:rPr>
          <w:rFonts w:ascii="Times New Roman" w:eastAsia="Times New Roman" w:hAnsi="Times New Roman" w:cs="Times New Roman"/>
          <w:lang w:val="en-GB"/>
        </w:rPr>
        <w:t>u</w:t>
      </w:r>
      <w:r w:rsidR="001A49C0" w:rsidRPr="001A49C0">
        <w:rPr>
          <w:rFonts w:ascii="Times New Roman" w:eastAsia="Times New Roman" w:hAnsi="Times New Roman" w:cs="Times New Roman"/>
          <w:lang w:val="en-GB"/>
        </w:rPr>
        <w:t>sing</w:t>
      </w:r>
      <w:r w:rsidR="001A49C0">
        <w:rPr>
          <w:rFonts w:ascii="Times New Roman" w:eastAsia="Times New Roman" w:hAnsi="Times New Roman" w:cs="Times New Roman"/>
          <w:lang w:val="en-GB"/>
        </w:rPr>
        <w:t xml:space="preserve"> a multi-group</w:t>
      </w:r>
      <w:r w:rsidR="001A49C0" w:rsidRPr="001A49C0">
        <w:rPr>
          <w:rFonts w:ascii="Times New Roman" w:eastAsia="Times New Roman" w:hAnsi="Times New Roman" w:cs="Times New Roman"/>
          <w:lang w:val="en-GB"/>
        </w:rPr>
        <w:t xml:space="preserve"> structural equation modelling (</w:t>
      </w:r>
      <w:r w:rsidR="001A49C0">
        <w:rPr>
          <w:rFonts w:ascii="Times New Roman" w:eastAsia="Times New Roman" w:hAnsi="Times New Roman" w:cs="Times New Roman"/>
          <w:lang w:val="en-GB"/>
        </w:rPr>
        <w:t>MG-</w:t>
      </w:r>
      <w:r w:rsidR="001A49C0" w:rsidRPr="001A49C0">
        <w:rPr>
          <w:rFonts w:ascii="Times New Roman" w:eastAsia="Times New Roman" w:hAnsi="Times New Roman" w:cs="Times New Roman"/>
          <w:lang w:val="en-GB"/>
        </w:rPr>
        <w:t xml:space="preserve">SEM), our study aimed to disentangle the possible influence of drug use and knowledge regarding HIV and </w:t>
      </w:r>
      <w:proofErr w:type="spellStart"/>
      <w:r w:rsidR="001A49C0" w:rsidRPr="001A49C0">
        <w:rPr>
          <w:rFonts w:ascii="Times New Roman" w:eastAsia="Times New Roman" w:hAnsi="Times New Roman" w:cs="Times New Roman"/>
          <w:lang w:val="en-GB"/>
        </w:rPr>
        <w:t>PrEP</w:t>
      </w:r>
      <w:proofErr w:type="spellEnd"/>
      <w:r w:rsidR="001A49C0" w:rsidRPr="001A49C0">
        <w:rPr>
          <w:rFonts w:ascii="Times New Roman" w:eastAsia="Times New Roman" w:hAnsi="Times New Roman" w:cs="Times New Roman"/>
          <w:lang w:val="en-GB"/>
        </w:rPr>
        <w:t xml:space="preserve"> on the relation between IH and SRB in</w:t>
      </w:r>
      <w:r w:rsidR="001A49C0">
        <w:rPr>
          <w:rFonts w:ascii="Times New Roman" w:eastAsia="Times New Roman" w:hAnsi="Times New Roman" w:cs="Times New Roman"/>
          <w:lang w:val="en-GB"/>
        </w:rPr>
        <w:t xml:space="preserve"> </w:t>
      </w:r>
      <w:r w:rsidR="001A49C0" w:rsidRPr="001A49C0">
        <w:rPr>
          <w:rFonts w:ascii="Times New Roman" w:eastAsia="Times New Roman" w:hAnsi="Times New Roman" w:cs="Times New Roman"/>
          <w:lang w:val="en-GB"/>
        </w:rPr>
        <w:t>national sample</w:t>
      </w:r>
      <w:r w:rsidR="001A49C0">
        <w:rPr>
          <w:rFonts w:ascii="Times New Roman" w:eastAsia="Times New Roman" w:hAnsi="Times New Roman" w:cs="Times New Roman"/>
          <w:lang w:val="en-GB"/>
        </w:rPr>
        <w:t>s</w:t>
      </w:r>
      <w:r w:rsidR="001A49C0" w:rsidRPr="001A49C0">
        <w:rPr>
          <w:rFonts w:ascii="Times New Roman" w:eastAsia="Times New Roman" w:hAnsi="Times New Roman" w:cs="Times New Roman"/>
          <w:lang w:val="en-GB"/>
        </w:rPr>
        <w:t xml:space="preserve"> of MSM living in Spain </w:t>
      </w:r>
      <w:r w:rsidR="001A49C0">
        <w:rPr>
          <w:rFonts w:ascii="Times New Roman" w:eastAsia="Times New Roman" w:hAnsi="Times New Roman" w:cs="Times New Roman"/>
          <w:lang w:val="en-GB"/>
        </w:rPr>
        <w:t>and Turkey</w:t>
      </w:r>
      <w:r w:rsidR="00F55F24">
        <w:rPr>
          <w:rFonts w:ascii="Times New Roman" w:eastAsia="Times New Roman" w:hAnsi="Times New Roman" w:cs="Times New Roman"/>
          <w:lang w:val="en-GB"/>
        </w:rPr>
        <w:t>.</w:t>
      </w:r>
    </w:p>
    <w:p w14:paraId="202E3385" w14:textId="197598E3" w:rsidR="001A49C0" w:rsidRDefault="001A49C0" w:rsidP="001A49C0">
      <w:pPr>
        <w:spacing w:line="276" w:lineRule="auto"/>
        <w:ind w:firstLine="720"/>
        <w:jc w:val="both"/>
        <w:rPr>
          <w:rFonts w:ascii="Times New Roman" w:eastAsia="Times New Roman" w:hAnsi="Times New Roman" w:cs="Times New Roman"/>
          <w:lang w:val="en-GB"/>
        </w:rPr>
      </w:pPr>
    </w:p>
    <w:p w14:paraId="7E52A936" w14:textId="3B348E2B" w:rsidR="00FD34CB" w:rsidRPr="007F78BA" w:rsidRDefault="00FD34CB" w:rsidP="00FD34CB">
      <w:pPr>
        <w:pStyle w:val="Overskrift1"/>
        <w:rPr>
          <w:lang w:val="en-GB"/>
        </w:rPr>
      </w:pPr>
      <w:r w:rsidRPr="007F78BA">
        <w:rPr>
          <w:lang w:val="en-GB"/>
        </w:rPr>
        <w:t>Sample and Methods</w:t>
      </w:r>
    </w:p>
    <w:p w14:paraId="742F22EA" w14:textId="2EFC8D89" w:rsidR="00FD34CB" w:rsidRPr="007F78BA" w:rsidRDefault="00FD34CB" w:rsidP="00FD34CB">
      <w:pPr>
        <w:pStyle w:val="Overskrift2"/>
        <w:rPr>
          <w:lang w:val="en-GB"/>
        </w:rPr>
      </w:pPr>
      <w:r w:rsidRPr="007F78BA">
        <w:rPr>
          <w:lang w:val="en-GB"/>
        </w:rPr>
        <w:t>Study Sample</w:t>
      </w:r>
    </w:p>
    <w:p w14:paraId="37FB16F0" w14:textId="52295BB2" w:rsidR="000E3281" w:rsidRDefault="00116A24" w:rsidP="000E3281">
      <w:pPr>
        <w:spacing w:line="276" w:lineRule="auto"/>
        <w:ind w:firstLine="720"/>
        <w:jc w:val="both"/>
        <w:rPr>
          <w:rFonts w:ascii="Times New Roman" w:eastAsia="Times New Roman" w:hAnsi="Times New Roman" w:cs="Times New Roman"/>
          <w:lang w:val="en-GB"/>
        </w:rPr>
      </w:pPr>
      <w:r w:rsidRPr="007F78BA">
        <w:rPr>
          <w:rFonts w:ascii="Times New Roman" w:eastAsia="Times New Roman" w:hAnsi="Times New Roman" w:cs="Times New Roman"/>
          <w:lang w:val="en-GB"/>
        </w:rPr>
        <w:t xml:space="preserve">We used data from the 2017 wave of the European MSM Internet Survey (EMIS-2017). The detailed methods have been reported elsewhere </w:t>
      </w:r>
      <w:r w:rsidRPr="007F78BA">
        <w:rPr>
          <w:rFonts w:ascii="Times New Roman" w:eastAsia="Times New Roman" w:hAnsi="Times New Roman" w:cs="Times New Roman"/>
          <w:lang w:val="en-GB"/>
        </w:rPr>
        <w:fldChar w:fldCharType="begin"/>
      </w:r>
      <w:r w:rsidR="002A5CF5" w:rsidRPr="007F78BA">
        <w:rPr>
          <w:rFonts w:ascii="Times New Roman" w:eastAsia="Times New Roman" w:hAnsi="Times New Roman" w:cs="Times New Roman"/>
          <w:lang w:val="en-GB"/>
        </w:rPr>
        <w:instrText xml:space="preserve"> ADDIN ZOTERO_ITEM CSL_CITATION {"citationID":"QHKObMPE","properties":{"formattedCitation":"(Weatherburn et al., 2020)","plainCitation":"(Weatherburn et al., 2020)","noteIndex":0},"citationItems":[{"id":708,"uris":["http://zotero.org/users/5061103/items/KKHLSIXG"],"uri":["http://zotero.org/users/5061103/items/KKHLSIXG"],"itemData":{"id":708,"type":"article-journal","abstract":"Men-who-have-sex-with-men (MSM) carry a disproportionate burden of sexually transmitted infections across Europe. Health planners require sexual health needs assessment data to respond appropriately. In addition, surveillance of risk and precaution behaviours in this population enables evaluative judgements of policy responses. The European MSM Internet Survey (EMIS2017) aimed to repeat the pan-European online survey on male homosexual behaviour conducted in 2010, both to update information required to plan and monitor health promotion interventions and consolidate harmonisation of existing behavioural surveillance approaches. Our study team collaborated with more than 200 partners from academia, public health and civil society across 50 countries. Starting from our previous EMIS-2010 questionnaire, partners engaged in three rounds of iterative survey development and piloting until the final content was agreed. Transfer to an online survey application was followed by further pretesting before translation into 32 additional languages, final testing and sign-off. The survey was available to complete online in 33 languages simultaneously from 18 October 2017 to 31 January 2018. Ten international MSM dating mobile apps were paid to send short promotional messages, and national partners promoted the survey via at least another 272 websites and social media accounts. Real-time monitoring of responses facilitated targeted advertising by country and recruitment source. Ultimately 144,305 cases were submitted of which 137,358 (95.2%) were eligible for inclusion. EMIS-2017 demonstrated the feasibility of multi-country online MSM surveying with public funding. Meaningful involvement of a large number of collaborators in the survey design and its execution ensured successful recruitment. Careful design, piloting and presentation ensured the survey was acceptable and had authority and perceived community benefit. Partners in 38 countries have already been supplied with a national database of 100 or more respondents for national analysis, while the study team has focussed on international comparisons among 137,358 respondents in 50 countries.","container-title":"Sexuality Research and Social Policy","DOI":"10.1007/s13178-019-00413-0","ISSN":"1868-9884, 1553-6610","issue":"4","journalAbbreviation":"Sex Res Soc Policy","language":"en","page":"543-557","source":"DOI.org (Crossref)","title":"European Men-Who-Have-Sex-With-Men Internet Survey (EMIS-2017): Design and Methods","title-short":"European Men-Who-Have-Sex-With-Men Internet Survey (EMIS-2017)","volume":"17","author":[{"family":"Weatherburn","given":"Peter"},{"family":"Hickson","given":"Ford"},{"family":"Reid","given":"David S."},{"family":"Marcus","given":"Ulrich"},{"family":"Schmidt","given":"Axel J."}],"issued":{"date-parts":[["2020",12]]}}}],"schema":"https://github.com/citation-style-language/schema/raw/master/csl-citation.json"} </w:instrText>
      </w:r>
      <w:r w:rsidRPr="007F78BA">
        <w:rPr>
          <w:rFonts w:ascii="Times New Roman" w:eastAsia="Times New Roman" w:hAnsi="Times New Roman" w:cs="Times New Roman"/>
          <w:lang w:val="en-GB"/>
        </w:rPr>
        <w:fldChar w:fldCharType="separate"/>
      </w:r>
      <w:r w:rsidRPr="007F78BA">
        <w:rPr>
          <w:rFonts w:ascii="Times New Roman" w:eastAsia="Times New Roman" w:hAnsi="Times New Roman" w:cs="Times New Roman"/>
          <w:lang w:val="en-GB"/>
        </w:rPr>
        <w:t>(Weatherburn et al., 2020)</w:t>
      </w:r>
      <w:r w:rsidRPr="007F78BA">
        <w:rPr>
          <w:rFonts w:ascii="Times New Roman" w:eastAsia="Times New Roman" w:hAnsi="Times New Roman" w:cs="Times New Roman"/>
          <w:lang w:val="en-GB"/>
        </w:rPr>
        <w:fldChar w:fldCharType="end"/>
      </w:r>
      <w:r w:rsidRPr="007F78BA">
        <w:rPr>
          <w:rFonts w:ascii="Times New Roman" w:eastAsia="Times New Roman" w:hAnsi="Times New Roman" w:cs="Times New Roman"/>
          <w:lang w:val="en-GB"/>
        </w:rPr>
        <w:t>. EMIS-2017 was an internet based</w:t>
      </w:r>
      <w:r w:rsidR="007660A3">
        <w:rPr>
          <w:rFonts w:ascii="Times New Roman" w:eastAsia="Times New Roman" w:hAnsi="Times New Roman" w:cs="Times New Roman"/>
          <w:lang w:val="en-GB"/>
        </w:rPr>
        <w:t>,</w:t>
      </w:r>
      <w:r w:rsidRPr="007F78BA">
        <w:rPr>
          <w:rFonts w:ascii="Times New Roman" w:eastAsia="Times New Roman" w:hAnsi="Times New Roman" w:cs="Times New Roman"/>
          <w:lang w:val="en-GB"/>
        </w:rPr>
        <w:t xml:space="preserve"> self-completion survey conducted in 33-languages for men living in Europe who have se</w:t>
      </w:r>
      <w:r w:rsidR="007660A3">
        <w:rPr>
          <w:rFonts w:ascii="Times New Roman" w:eastAsia="Times New Roman" w:hAnsi="Times New Roman" w:cs="Times New Roman"/>
          <w:lang w:val="en-GB"/>
        </w:rPr>
        <w:t>x</w:t>
      </w:r>
      <w:r w:rsidRPr="007F78BA">
        <w:rPr>
          <w:rFonts w:ascii="Times New Roman" w:eastAsia="Times New Roman" w:hAnsi="Times New Roman" w:cs="Times New Roman"/>
          <w:lang w:val="en-GB"/>
        </w:rPr>
        <w:t xml:space="preserve"> with men and/or </w:t>
      </w:r>
      <w:r w:rsidR="007660A3">
        <w:rPr>
          <w:rFonts w:ascii="Times New Roman" w:eastAsia="Times New Roman" w:hAnsi="Times New Roman" w:cs="Times New Roman"/>
          <w:lang w:val="en-GB"/>
        </w:rPr>
        <w:t xml:space="preserve">are </w:t>
      </w:r>
      <w:r w:rsidRPr="007F78BA">
        <w:rPr>
          <w:rFonts w:ascii="Times New Roman" w:eastAsia="Times New Roman" w:hAnsi="Times New Roman" w:cs="Times New Roman"/>
          <w:lang w:val="en-GB"/>
        </w:rPr>
        <w:t>sexually attracted to other men. No financial incentives were given to participants</w:t>
      </w:r>
      <w:r w:rsidR="007660A3">
        <w:rPr>
          <w:rFonts w:ascii="Times New Roman" w:eastAsia="Times New Roman" w:hAnsi="Times New Roman" w:cs="Times New Roman"/>
          <w:lang w:val="en-GB"/>
        </w:rPr>
        <w:t xml:space="preserve"> and</w:t>
      </w:r>
      <w:r w:rsidRPr="007F78BA">
        <w:rPr>
          <w:rFonts w:ascii="Times New Roman" w:eastAsia="Times New Roman" w:hAnsi="Times New Roman" w:cs="Times New Roman"/>
          <w:lang w:val="en-GB"/>
        </w:rPr>
        <w:t xml:space="preserve"> no personal identifying information (including IP addresses) were collected. More background information is available at </w:t>
      </w:r>
      <w:hyperlink r:id="rId8" w:history="1">
        <w:r w:rsidRPr="0028392A">
          <w:rPr>
            <w:rFonts w:ascii="Times New Roman" w:hAnsi="Times New Roman" w:cs="Times New Roman"/>
            <w:lang w:val="en-GB"/>
          </w:rPr>
          <w:t>www.emis2017.eu</w:t>
        </w:r>
      </w:hyperlink>
      <w:r w:rsidRPr="007660A3">
        <w:rPr>
          <w:rFonts w:ascii="Times New Roman" w:eastAsia="Times New Roman" w:hAnsi="Times New Roman" w:cs="Times New Roman"/>
          <w:lang w:val="en-GB"/>
        </w:rPr>
        <w:t>.</w:t>
      </w:r>
      <w:r w:rsidRPr="007F78BA">
        <w:rPr>
          <w:rFonts w:ascii="Times New Roman" w:eastAsia="Times New Roman" w:hAnsi="Times New Roman" w:cs="Times New Roman"/>
          <w:lang w:val="en-GB"/>
        </w:rPr>
        <w:t xml:space="preserve"> </w:t>
      </w:r>
    </w:p>
    <w:p w14:paraId="53EA90D1" w14:textId="26137CAE" w:rsidR="00116A24" w:rsidRPr="007F78BA" w:rsidRDefault="00116A24" w:rsidP="000E3281">
      <w:pPr>
        <w:spacing w:line="276" w:lineRule="auto"/>
        <w:ind w:firstLine="720"/>
        <w:jc w:val="both"/>
        <w:rPr>
          <w:rFonts w:ascii="Times New Roman" w:eastAsia="Times New Roman" w:hAnsi="Times New Roman" w:cs="Times New Roman"/>
          <w:lang w:val="en-GB"/>
        </w:rPr>
      </w:pPr>
      <w:r w:rsidRPr="007F78BA">
        <w:rPr>
          <w:rFonts w:ascii="Times New Roman" w:eastAsia="Times New Roman" w:hAnsi="Times New Roman" w:cs="Times New Roman"/>
          <w:lang w:val="en-GB"/>
        </w:rPr>
        <w:t xml:space="preserve">The sub-sample of MSM living in </w:t>
      </w:r>
      <w:r w:rsidR="007E6EE6">
        <w:rPr>
          <w:rFonts w:ascii="Times New Roman" w:eastAsia="Times New Roman" w:hAnsi="Times New Roman" w:cs="Times New Roman"/>
          <w:lang w:val="en-GB"/>
        </w:rPr>
        <w:t>Turkey</w:t>
      </w:r>
      <w:r w:rsidR="007E6EE6" w:rsidRPr="007F78BA">
        <w:rPr>
          <w:rFonts w:ascii="Times New Roman" w:eastAsia="Times New Roman" w:hAnsi="Times New Roman" w:cs="Times New Roman"/>
          <w:lang w:val="en-GB"/>
        </w:rPr>
        <w:t xml:space="preserve"> </w:t>
      </w:r>
      <w:r w:rsidRPr="007F78BA">
        <w:rPr>
          <w:rFonts w:ascii="Times New Roman" w:eastAsia="Times New Roman" w:hAnsi="Times New Roman" w:cs="Times New Roman"/>
          <w:lang w:val="en-GB"/>
        </w:rPr>
        <w:t xml:space="preserve">consisted of </w:t>
      </w:r>
      <w:r w:rsidR="007E6EE6">
        <w:rPr>
          <w:rFonts w:ascii="Times New Roman" w:eastAsia="Times New Roman" w:hAnsi="Times New Roman" w:cs="Times New Roman"/>
          <w:lang w:val="en-GB"/>
        </w:rPr>
        <w:t>1</w:t>
      </w:r>
      <w:r w:rsidR="006062DA">
        <w:rPr>
          <w:rFonts w:ascii="Times New Roman" w:eastAsia="Times New Roman" w:hAnsi="Times New Roman" w:cs="Times New Roman"/>
          <w:lang w:val="en-GB"/>
        </w:rPr>
        <w:t>,</w:t>
      </w:r>
      <w:r w:rsidR="007E6EE6">
        <w:rPr>
          <w:rFonts w:ascii="Times New Roman" w:eastAsia="Times New Roman" w:hAnsi="Times New Roman" w:cs="Times New Roman"/>
          <w:lang w:val="en-GB"/>
        </w:rPr>
        <w:t>855</w:t>
      </w:r>
      <w:r w:rsidRPr="007F78BA">
        <w:rPr>
          <w:rFonts w:ascii="Times New Roman" w:eastAsia="Times New Roman" w:hAnsi="Times New Roman" w:cs="Times New Roman"/>
          <w:lang w:val="en-GB"/>
        </w:rPr>
        <w:t xml:space="preserve"> respondents</w:t>
      </w:r>
      <w:r w:rsidR="007E6EE6">
        <w:rPr>
          <w:rFonts w:ascii="Times New Roman" w:eastAsia="Times New Roman" w:hAnsi="Times New Roman" w:cs="Times New Roman"/>
          <w:lang w:val="en-GB"/>
        </w:rPr>
        <w:t xml:space="preserve">, </w:t>
      </w:r>
      <w:r w:rsidRPr="007F78BA">
        <w:rPr>
          <w:rFonts w:ascii="Times New Roman" w:eastAsia="Times New Roman" w:hAnsi="Times New Roman" w:cs="Times New Roman"/>
          <w:lang w:val="en-GB"/>
        </w:rPr>
        <w:t>with 9</w:t>
      </w:r>
      <w:r w:rsidR="007E6EE6">
        <w:rPr>
          <w:rFonts w:ascii="Times New Roman" w:eastAsia="Times New Roman" w:hAnsi="Times New Roman" w:cs="Times New Roman"/>
          <w:lang w:val="en-GB"/>
        </w:rPr>
        <w:t>4</w:t>
      </w:r>
      <w:r w:rsidRPr="007F78BA">
        <w:rPr>
          <w:rFonts w:ascii="Times New Roman" w:eastAsia="Times New Roman" w:hAnsi="Times New Roman" w:cs="Times New Roman"/>
          <w:lang w:val="en-GB"/>
        </w:rPr>
        <w:t>.</w:t>
      </w:r>
      <w:r w:rsidR="007E6EE6">
        <w:rPr>
          <w:rFonts w:ascii="Times New Roman" w:eastAsia="Times New Roman" w:hAnsi="Times New Roman" w:cs="Times New Roman"/>
          <w:lang w:val="en-GB"/>
        </w:rPr>
        <w:t>3</w:t>
      </w:r>
      <w:r w:rsidRPr="007F78BA">
        <w:rPr>
          <w:rFonts w:ascii="Times New Roman" w:eastAsia="Times New Roman" w:hAnsi="Times New Roman" w:cs="Times New Roman"/>
          <w:lang w:val="en-GB"/>
        </w:rPr>
        <w:t xml:space="preserve">% using the </w:t>
      </w:r>
      <w:r w:rsidR="007E6EE6">
        <w:rPr>
          <w:rFonts w:ascii="Times New Roman" w:eastAsia="Times New Roman" w:hAnsi="Times New Roman" w:cs="Times New Roman"/>
          <w:lang w:val="en-GB"/>
        </w:rPr>
        <w:t>Turkish</w:t>
      </w:r>
      <w:r w:rsidR="007660A3">
        <w:rPr>
          <w:rFonts w:ascii="Times New Roman" w:eastAsia="Times New Roman" w:hAnsi="Times New Roman" w:cs="Times New Roman"/>
          <w:lang w:val="en-GB"/>
        </w:rPr>
        <w:t xml:space="preserve"> language</w:t>
      </w:r>
      <w:r w:rsidRPr="007F78BA">
        <w:rPr>
          <w:rFonts w:ascii="Times New Roman" w:eastAsia="Times New Roman" w:hAnsi="Times New Roman" w:cs="Times New Roman"/>
          <w:lang w:val="en-GB"/>
        </w:rPr>
        <w:t xml:space="preserve"> version of the survey</w:t>
      </w:r>
      <w:r w:rsidR="007E6EE6">
        <w:rPr>
          <w:rFonts w:ascii="Times New Roman" w:eastAsia="Times New Roman" w:hAnsi="Times New Roman" w:cs="Times New Roman"/>
          <w:lang w:val="en-GB"/>
        </w:rPr>
        <w:t>, followed by 3.5% using the English version</w:t>
      </w:r>
      <w:r w:rsidRPr="007F78BA">
        <w:rPr>
          <w:rFonts w:ascii="Times New Roman" w:eastAsia="Times New Roman" w:hAnsi="Times New Roman" w:cs="Times New Roman"/>
          <w:lang w:val="en-GB"/>
        </w:rPr>
        <w:t xml:space="preserve">. Recruitment </w:t>
      </w:r>
      <w:r w:rsidR="007660A3">
        <w:rPr>
          <w:rFonts w:ascii="Times New Roman" w:eastAsia="Times New Roman" w:hAnsi="Times New Roman" w:cs="Times New Roman"/>
          <w:lang w:val="en-GB"/>
        </w:rPr>
        <w:t xml:space="preserve">largely </w:t>
      </w:r>
      <w:r w:rsidRPr="007F78BA">
        <w:rPr>
          <w:rFonts w:ascii="Times New Roman" w:eastAsia="Times New Roman" w:hAnsi="Times New Roman" w:cs="Times New Roman"/>
          <w:lang w:val="en-GB"/>
        </w:rPr>
        <w:t>occurred through trans-national dating apps</w:t>
      </w:r>
      <w:r w:rsidR="007660A3">
        <w:rPr>
          <w:rFonts w:ascii="Times New Roman" w:eastAsia="Times New Roman" w:hAnsi="Times New Roman" w:cs="Times New Roman"/>
          <w:lang w:val="en-GB"/>
        </w:rPr>
        <w:t xml:space="preserve">. </w:t>
      </w:r>
      <w:r w:rsidR="007E6EE6">
        <w:rPr>
          <w:rFonts w:ascii="Times New Roman" w:eastAsia="Times New Roman" w:hAnsi="Times New Roman" w:cs="Times New Roman"/>
          <w:lang w:val="en-GB"/>
        </w:rPr>
        <w:t>Hornet</w:t>
      </w:r>
      <w:r w:rsidR="007E6EE6" w:rsidRPr="007F78BA">
        <w:rPr>
          <w:rFonts w:ascii="Times New Roman" w:eastAsia="Times New Roman" w:hAnsi="Times New Roman" w:cs="Times New Roman"/>
          <w:lang w:val="en-GB"/>
        </w:rPr>
        <w:t xml:space="preserve"> </w:t>
      </w:r>
      <w:r w:rsidRPr="007F78BA">
        <w:rPr>
          <w:rFonts w:ascii="Times New Roman" w:eastAsia="Times New Roman" w:hAnsi="Times New Roman" w:cs="Times New Roman"/>
          <w:lang w:val="en-GB"/>
        </w:rPr>
        <w:t xml:space="preserve">accounted for </w:t>
      </w:r>
      <w:r w:rsidR="007E6EE6">
        <w:rPr>
          <w:rFonts w:ascii="Times New Roman" w:eastAsia="Times New Roman" w:hAnsi="Times New Roman" w:cs="Times New Roman"/>
          <w:lang w:val="en-GB"/>
        </w:rPr>
        <w:t>31</w:t>
      </w:r>
      <w:r w:rsidRPr="007F78BA">
        <w:rPr>
          <w:rFonts w:ascii="Times New Roman" w:eastAsia="Times New Roman" w:hAnsi="Times New Roman" w:cs="Times New Roman"/>
          <w:lang w:val="en-GB"/>
        </w:rPr>
        <w:t xml:space="preserve">% of recruits, </w:t>
      </w:r>
      <w:proofErr w:type="spellStart"/>
      <w:r w:rsidRPr="007F78BA">
        <w:rPr>
          <w:rFonts w:ascii="Times New Roman" w:eastAsia="Times New Roman" w:hAnsi="Times New Roman" w:cs="Times New Roman"/>
          <w:lang w:val="en-GB"/>
        </w:rPr>
        <w:t>PlanetRomeo</w:t>
      </w:r>
      <w:proofErr w:type="spellEnd"/>
      <w:r w:rsidRPr="007F78BA">
        <w:rPr>
          <w:rFonts w:ascii="Times New Roman" w:eastAsia="Times New Roman" w:hAnsi="Times New Roman" w:cs="Times New Roman"/>
          <w:lang w:val="en-GB"/>
        </w:rPr>
        <w:t xml:space="preserve"> for </w:t>
      </w:r>
      <w:r w:rsidR="007E6EE6">
        <w:rPr>
          <w:rFonts w:ascii="Times New Roman" w:eastAsia="Times New Roman" w:hAnsi="Times New Roman" w:cs="Times New Roman"/>
          <w:lang w:val="en-GB"/>
        </w:rPr>
        <w:t>25</w:t>
      </w:r>
      <w:r w:rsidRPr="007F78BA">
        <w:rPr>
          <w:rFonts w:ascii="Times New Roman" w:eastAsia="Times New Roman" w:hAnsi="Times New Roman" w:cs="Times New Roman"/>
          <w:lang w:val="en-GB"/>
        </w:rPr>
        <w:t xml:space="preserve">%, </w:t>
      </w:r>
      <w:r w:rsidR="007660A3">
        <w:rPr>
          <w:rFonts w:ascii="Times New Roman" w:eastAsia="Times New Roman" w:hAnsi="Times New Roman" w:cs="Times New Roman"/>
          <w:lang w:val="en-GB"/>
        </w:rPr>
        <w:t xml:space="preserve">and </w:t>
      </w:r>
      <w:r w:rsidR="007E6EE6">
        <w:rPr>
          <w:rFonts w:ascii="Times New Roman" w:eastAsia="Times New Roman" w:hAnsi="Times New Roman" w:cs="Times New Roman"/>
          <w:lang w:val="en-GB"/>
        </w:rPr>
        <w:t xml:space="preserve">Grindr, </w:t>
      </w:r>
      <w:r w:rsidRPr="007F78BA">
        <w:rPr>
          <w:rFonts w:ascii="Times New Roman" w:eastAsia="Times New Roman" w:hAnsi="Times New Roman" w:cs="Times New Roman"/>
          <w:lang w:val="en-GB"/>
        </w:rPr>
        <w:t xml:space="preserve">SCRUFF, </w:t>
      </w:r>
      <w:proofErr w:type="spellStart"/>
      <w:r w:rsidRPr="007F78BA">
        <w:rPr>
          <w:rFonts w:ascii="Times New Roman" w:eastAsia="Times New Roman" w:hAnsi="Times New Roman" w:cs="Times New Roman"/>
          <w:lang w:val="en-GB"/>
        </w:rPr>
        <w:t>GROWLr</w:t>
      </w:r>
      <w:proofErr w:type="spellEnd"/>
      <w:r w:rsidRPr="007F78BA">
        <w:rPr>
          <w:rFonts w:ascii="Times New Roman" w:eastAsia="Times New Roman" w:hAnsi="Times New Roman" w:cs="Times New Roman"/>
          <w:lang w:val="en-GB"/>
        </w:rPr>
        <w:t>, RECON, Gaydar, and Manhunt/</w:t>
      </w:r>
      <w:proofErr w:type="spellStart"/>
      <w:r w:rsidRPr="007F78BA">
        <w:rPr>
          <w:rFonts w:ascii="Times New Roman" w:eastAsia="Times New Roman" w:hAnsi="Times New Roman" w:cs="Times New Roman"/>
          <w:lang w:val="en-GB"/>
        </w:rPr>
        <w:t>Jack’d</w:t>
      </w:r>
      <w:proofErr w:type="spellEnd"/>
      <w:r w:rsidRPr="007F78BA">
        <w:rPr>
          <w:rFonts w:ascii="Times New Roman" w:eastAsia="Times New Roman" w:hAnsi="Times New Roman" w:cs="Times New Roman"/>
          <w:lang w:val="en-GB"/>
        </w:rPr>
        <w:t xml:space="preserve"> collectively for </w:t>
      </w:r>
      <w:r w:rsidR="007E6EE6">
        <w:rPr>
          <w:rFonts w:ascii="Times New Roman" w:eastAsia="Times New Roman" w:hAnsi="Times New Roman" w:cs="Times New Roman"/>
          <w:lang w:val="en-GB"/>
        </w:rPr>
        <w:t>4</w:t>
      </w:r>
      <w:r w:rsidRPr="007F78BA">
        <w:rPr>
          <w:rFonts w:ascii="Times New Roman" w:eastAsia="Times New Roman" w:hAnsi="Times New Roman" w:cs="Times New Roman"/>
          <w:lang w:val="en-GB"/>
        </w:rPr>
        <w:t>%</w:t>
      </w:r>
      <w:r w:rsidR="007660A3">
        <w:rPr>
          <w:rFonts w:ascii="Times New Roman" w:eastAsia="Times New Roman" w:hAnsi="Times New Roman" w:cs="Times New Roman"/>
          <w:lang w:val="en-GB"/>
        </w:rPr>
        <w:t>. Recruitment was also</w:t>
      </w:r>
      <w:r w:rsidRPr="007F78BA">
        <w:rPr>
          <w:rFonts w:ascii="Times New Roman" w:eastAsia="Times New Roman" w:hAnsi="Times New Roman" w:cs="Times New Roman"/>
          <w:lang w:val="en-GB"/>
        </w:rPr>
        <w:t xml:space="preserve"> through national partners via </w:t>
      </w:r>
      <w:r w:rsidRPr="007F78BA">
        <w:rPr>
          <w:rFonts w:ascii="Times New Roman" w:eastAsia="Times New Roman" w:hAnsi="Times New Roman" w:cs="Times New Roman"/>
          <w:lang w:val="en-GB"/>
        </w:rPr>
        <w:lastRenderedPageBreak/>
        <w:t>websites (</w:t>
      </w:r>
      <w:r w:rsidR="007E6EE6">
        <w:rPr>
          <w:rFonts w:ascii="Times New Roman" w:eastAsia="Times New Roman" w:hAnsi="Times New Roman" w:cs="Times New Roman"/>
          <w:lang w:val="en-GB"/>
        </w:rPr>
        <w:t>3</w:t>
      </w:r>
      <w:r w:rsidRPr="007F78BA">
        <w:rPr>
          <w:rFonts w:ascii="Times New Roman" w:eastAsia="Times New Roman" w:hAnsi="Times New Roman" w:cs="Times New Roman"/>
          <w:lang w:val="en-GB"/>
        </w:rPr>
        <w:t>%) and social media (</w:t>
      </w:r>
      <w:r w:rsidR="007E6EE6">
        <w:rPr>
          <w:rFonts w:ascii="Times New Roman" w:eastAsia="Times New Roman" w:hAnsi="Times New Roman" w:cs="Times New Roman"/>
          <w:lang w:val="en-GB"/>
        </w:rPr>
        <w:t>3</w:t>
      </w:r>
      <w:r w:rsidRPr="007F78BA">
        <w:rPr>
          <w:rFonts w:ascii="Times New Roman" w:eastAsia="Times New Roman" w:hAnsi="Times New Roman" w:cs="Times New Roman"/>
          <w:lang w:val="en-GB"/>
        </w:rPr>
        <w:t>%)</w:t>
      </w:r>
      <w:r w:rsidR="007E6EE6">
        <w:rPr>
          <w:rFonts w:ascii="Times New Roman" w:eastAsia="Times New Roman" w:hAnsi="Times New Roman" w:cs="Times New Roman"/>
          <w:lang w:val="en-GB"/>
        </w:rPr>
        <w:t>. For 34% of respondents, the source of recruitment remained unknown.</w:t>
      </w:r>
      <w:r w:rsidRPr="007F78BA">
        <w:rPr>
          <w:rFonts w:ascii="Times New Roman" w:eastAsia="Times New Roman" w:hAnsi="Times New Roman" w:cs="Times New Roman"/>
          <w:lang w:val="en-GB"/>
        </w:rPr>
        <w:t xml:space="preserve"> </w:t>
      </w:r>
    </w:p>
    <w:p w14:paraId="7DD2DBC9" w14:textId="4A142ED4" w:rsidR="007660A3" w:rsidRDefault="007660A3" w:rsidP="00116A24">
      <w:pPr>
        <w:spacing w:line="276" w:lineRule="auto"/>
        <w:ind w:firstLine="720"/>
        <w:jc w:val="both"/>
        <w:rPr>
          <w:rFonts w:ascii="Times New Roman" w:eastAsia="Times New Roman" w:hAnsi="Times New Roman" w:cs="Times New Roman"/>
          <w:lang w:val="en-GB"/>
        </w:rPr>
      </w:pPr>
      <w:r w:rsidRPr="007F78BA">
        <w:rPr>
          <w:rFonts w:ascii="Times New Roman" w:eastAsia="Times New Roman" w:hAnsi="Times New Roman" w:cs="Times New Roman"/>
          <w:lang w:val="en-GB"/>
        </w:rPr>
        <w:t xml:space="preserve">The sub-sample of MSM living in </w:t>
      </w:r>
      <w:r>
        <w:rPr>
          <w:rFonts w:ascii="Times New Roman" w:eastAsia="Times New Roman" w:hAnsi="Times New Roman" w:cs="Times New Roman"/>
          <w:lang w:val="en-GB"/>
        </w:rPr>
        <w:t>Spain</w:t>
      </w:r>
      <w:r w:rsidRPr="007F78BA">
        <w:rPr>
          <w:rFonts w:ascii="Times New Roman" w:eastAsia="Times New Roman" w:hAnsi="Times New Roman" w:cs="Times New Roman"/>
          <w:lang w:val="en-GB"/>
        </w:rPr>
        <w:t xml:space="preserve"> consisted of </w:t>
      </w:r>
      <w:r w:rsidR="00CA0145">
        <w:rPr>
          <w:rFonts w:ascii="Times New Roman" w:eastAsia="Times New Roman" w:hAnsi="Times New Roman" w:cs="Times New Roman"/>
          <w:lang w:val="en-GB"/>
        </w:rPr>
        <w:t xml:space="preserve">10,652 </w:t>
      </w:r>
      <w:r w:rsidRPr="007F78BA">
        <w:rPr>
          <w:rFonts w:ascii="Times New Roman" w:eastAsia="Times New Roman" w:hAnsi="Times New Roman" w:cs="Times New Roman"/>
          <w:lang w:val="en-GB"/>
        </w:rPr>
        <w:t>respondents</w:t>
      </w:r>
      <w:r w:rsidR="0092027D">
        <w:rPr>
          <w:rFonts w:ascii="Times New Roman" w:eastAsia="Times New Roman" w:hAnsi="Times New Roman" w:cs="Times New Roman"/>
          <w:lang w:val="en-GB"/>
        </w:rPr>
        <w:t xml:space="preserve">, </w:t>
      </w:r>
      <w:r w:rsidR="0092027D" w:rsidRPr="0092027D">
        <w:rPr>
          <w:rFonts w:ascii="Times New Roman" w:eastAsia="Times New Roman" w:hAnsi="Times New Roman" w:cs="Times New Roman"/>
          <w:lang w:val="en-GB"/>
        </w:rPr>
        <w:t>including men living in the autonomous provinces of Canarias, Ceuta, Melilla (geographically outside Europe) as well as men living in the Principality of Andorra (but not in the British Overseas Territory of Gibraltar), with 92.1% using the Spanish (Castilian) version of the survey (no other co-official languages of Spain, such as Catalan/Valencian, Galician, or Basque were offered). Recruitment occurred through trans-national dating apps</w:t>
      </w:r>
      <w:r w:rsidR="00C74339">
        <w:rPr>
          <w:rFonts w:ascii="Times New Roman" w:eastAsia="Times New Roman" w:hAnsi="Times New Roman" w:cs="Times New Roman"/>
          <w:lang w:val="en-GB"/>
        </w:rPr>
        <w:t xml:space="preserve">. </w:t>
      </w:r>
      <w:r w:rsidR="0092027D" w:rsidRPr="0092027D">
        <w:rPr>
          <w:rFonts w:ascii="Times New Roman" w:eastAsia="Times New Roman" w:hAnsi="Times New Roman" w:cs="Times New Roman"/>
          <w:lang w:val="en-GB"/>
        </w:rPr>
        <w:t>Grindr accounted for 48%</w:t>
      </w:r>
      <w:r w:rsidR="00C74339">
        <w:rPr>
          <w:rFonts w:ascii="Times New Roman" w:eastAsia="Times New Roman" w:hAnsi="Times New Roman" w:cs="Times New Roman"/>
          <w:lang w:val="en-GB"/>
        </w:rPr>
        <w:t xml:space="preserve">, </w:t>
      </w:r>
      <w:proofErr w:type="spellStart"/>
      <w:r w:rsidR="0092027D" w:rsidRPr="0092027D">
        <w:rPr>
          <w:rFonts w:ascii="Times New Roman" w:eastAsia="Times New Roman" w:hAnsi="Times New Roman" w:cs="Times New Roman"/>
          <w:lang w:val="en-GB"/>
        </w:rPr>
        <w:t>PlanetRomeo</w:t>
      </w:r>
      <w:proofErr w:type="spellEnd"/>
      <w:r w:rsidR="0092027D" w:rsidRPr="0092027D">
        <w:rPr>
          <w:rFonts w:ascii="Times New Roman" w:eastAsia="Times New Roman" w:hAnsi="Times New Roman" w:cs="Times New Roman"/>
          <w:lang w:val="en-GB"/>
        </w:rPr>
        <w:t xml:space="preserve"> 19%</w:t>
      </w:r>
      <w:r w:rsidR="00C74339">
        <w:rPr>
          <w:rFonts w:ascii="Times New Roman" w:eastAsia="Times New Roman" w:hAnsi="Times New Roman" w:cs="Times New Roman"/>
          <w:lang w:val="en-GB"/>
        </w:rPr>
        <w:t>, and</w:t>
      </w:r>
      <w:r w:rsidR="0092027D" w:rsidRPr="0092027D">
        <w:rPr>
          <w:rFonts w:ascii="Times New Roman" w:eastAsia="Times New Roman" w:hAnsi="Times New Roman" w:cs="Times New Roman"/>
          <w:lang w:val="en-GB"/>
        </w:rPr>
        <w:t xml:space="preserve"> SCRUFF, </w:t>
      </w:r>
      <w:proofErr w:type="spellStart"/>
      <w:r w:rsidR="0092027D" w:rsidRPr="0092027D">
        <w:rPr>
          <w:rFonts w:ascii="Times New Roman" w:eastAsia="Times New Roman" w:hAnsi="Times New Roman" w:cs="Times New Roman"/>
          <w:lang w:val="en-GB"/>
        </w:rPr>
        <w:t>GROWLr</w:t>
      </w:r>
      <w:proofErr w:type="spellEnd"/>
      <w:r w:rsidR="0092027D" w:rsidRPr="0092027D">
        <w:rPr>
          <w:rFonts w:ascii="Times New Roman" w:eastAsia="Times New Roman" w:hAnsi="Times New Roman" w:cs="Times New Roman"/>
          <w:lang w:val="en-GB"/>
        </w:rPr>
        <w:t>, RECON, Gaydar, Hornet, and Manhunt/</w:t>
      </w:r>
      <w:proofErr w:type="spellStart"/>
      <w:r w:rsidR="0092027D" w:rsidRPr="0092027D">
        <w:rPr>
          <w:rFonts w:ascii="Times New Roman" w:eastAsia="Times New Roman" w:hAnsi="Times New Roman" w:cs="Times New Roman"/>
          <w:lang w:val="en-GB"/>
        </w:rPr>
        <w:t>Jack’d</w:t>
      </w:r>
      <w:proofErr w:type="spellEnd"/>
      <w:r w:rsidR="0092027D" w:rsidRPr="0092027D">
        <w:rPr>
          <w:rFonts w:ascii="Times New Roman" w:eastAsia="Times New Roman" w:hAnsi="Times New Roman" w:cs="Times New Roman"/>
          <w:lang w:val="en-GB"/>
        </w:rPr>
        <w:t xml:space="preserve"> collectively </w:t>
      </w:r>
      <w:r w:rsidR="00C74339" w:rsidRPr="0092027D">
        <w:rPr>
          <w:rFonts w:ascii="Times New Roman" w:eastAsia="Times New Roman" w:hAnsi="Times New Roman" w:cs="Times New Roman"/>
          <w:lang w:val="en-GB"/>
        </w:rPr>
        <w:t>11% of recruits living in Spain</w:t>
      </w:r>
      <w:r w:rsidR="00C74339">
        <w:rPr>
          <w:rFonts w:ascii="Times New Roman" w:eastAsia="Times New Roman" w:hAnsi="Times New Roman" w:cs="Times New Roman"/>
          <w:lang w:val="en-GB"/>
        </w:rPr>
        <w:t xml:space="preserve">. MSM were also recruited </w:t>
      </w:r>
      <w:r w:rsidR="0092027D" w:rsidRPr="0092027D">
        <w:rPr>
          <w:rFonts w:ascii="Times New Roman" w:eastAsia="Times New Roman" w:hAnsi="Times New Roman" w:cs="Times New Roman"/>
          <w:lang w:val="en-GB"/>
        </w:rPr>
        <w:t>through national partners via websites (16%) and social media (1%) (</w:t>
      </w:r>
      <w:proofErr w:type="spellStart"/>
      <w:r w:rsidR="0092027D" w:rsidRPr="0092027D">
        <w:rPr>
          <w:rFonts w:ascii="Times New Roman" w:eastAsia="Times New Roman" w:hAnsi="Times New Roman" w:cs="Times New Roman"/>
          <w:lang w:val="en-GB"/>
        </w:rPr>
        <w:t>Ministerio</w:t>
      </w:r>
      <w:proofErr w:type="spellEnd"/>
      <w:r w:rsidR="0092027D" w:rsidRPr="0092027D">
        <w:rPr>
          <w:rFonts w:ascii="Times New Roman" w:eastAsia="Times New Roman" w:hAnsi="Times New Roman" w:cs="Times New Roman"/>
          <w:lang w:val="en-GB"/>
        </w:rPr>
        <w:t xml:space="preserve"> de </w:t>
      </w:r>
      <w:proofErr w:type="spellStart"/>
      <w:r w:rsidR="0092027D" w:rsidRPr="0092027D">
        <w:rPr>
          <w:rFonts w:ascii="Times New Roman" w:eastAsia="Times New Roman" w:hAnsi="Times New Roman" w:cs="Times New Roman"/>
          <w:lang w:val="en-GB"/>
        </w:rPr>
        <w:t>Sanidad</w:t>
      </w:r>
      <w:proofErr w:type="spellEnd"/>
      <w:r w:rsidR="0092027D" w:rsidRPr="0092027D">
        <w:rPr>
          <w:rFonts w:ascii="Times New Roman" w:eastAsia="Times New Roman" w:hAnsi="Times New Roman" w:cs="Times New Roman"/>
          <w:lang w:val="en-GB"/>
        </w:rPr>
        <w:t>, 2020).</w:t>
      </w:r>
    </w:p>
    <w:p w14:paraId="08355E54" w14:textId="43B1113B" w:rsidR="00116A24" w:rsidRPr="007F78BA" w:rsidRDefault="007660A3" w:rsidP="00116A24">
      <w:pPr>
        <w:spacing w:line="276" w:lineRule="auto"/>
        <w:ind w:firstLine="720"/>
        <w:jc w:val="both"/>
        <w:rPr>
          <w:rFonts w:ascii="Times New Roman" w:eastAsia="Times New Roman" w:hAnsi="Times New Roman" w:cs="Times New Roman"/>
          <w:lang w:val="en-GB"/>
        </w:rPr>
      </w:pPr>
      <w:r>
        <w:rPr>
          <w:rFonts w:ascii="Times New Roman" w:eastAsia="Times New Roman" w:hAnsi="Times New Roman" w:cs="Times New Roman"/>
          <w:lang w:val="en-GB"/>
        </w:rPr>
        <w:t>The</w:t>
      </w:r>
      <w:r w:rsidRPr="007F78BA">
        <w:rPr>
          <w:rFonts w:ascii="Times New Roman" w:eastAsia="Times New Roman" w:hAnsi="Times New Roman" w:cs="Times New Roman"/>
          <w:lang w:val="en-GB"/>
        </w:rPr>
        <w:t xml:space="preserve"> </w:t>
      </w:r>
      <w:r>
        <w:rPr>
          <w:rFonts w:ascii="Times New Roman" w:eastAsia="Times New Roman" w:hAnsi="Times New Roman" w:cs="Times New Roman"/>
          <w:lang w:val="en-GB"/>
        </w:rPr>
        <w:t>IH</w:t>
      </w:r>
      <w:r w:rsidRPr="007F78BA">
        <w:rPr>
          <w:rFonts w:ascii="Times New Roman" w:eastAsia="Times New Roman" w:hAnsi="Times New Roman" w:cs="Times New Roman"/>
          <w:lang w:val="en-GB"/>
        </w:rPr>
        <w:t xml:space="preserve"> </w:t>
      </w:r>
      <w:r>
        <w:rPr>
          <w:rFonts w:ascii="Times New Roman" w:eastAsia="Times New Roman" w:hAnsi="Times New Roman" w:cs="Times New Roman"/>
          <w:lang w:val="en-GB"/>
        </w:rPr>
        <w:t>scale questions were</w:t>
      </w:r>
      <w:r w:rsidRPr="007F78BA">
        <w:rPr>
          <w:rFonts w:ascii="Times New Roman" w:eastAsia="Times New Roman" w:hAnsi="Times New Roman" w:cs="Times New Roman"/>
          <w:lang w:val="en-GB"/>
        </w:rPr>
        <w:t xml:space="preserve"> randomly distributed to half of the </w:t>
      </w:r>
      <w:r>
        <w:rPr>
          <w:rFonts w:ascii="Times New Roman" w:eastAsia="Times New Roman" w:hAnsi="Times New Roman" w:cs="Times New Roman"/>
          <w:lang w:val="en-GB"/>
        </w:rPr>
        <w:t xml:space="preserve">survey </w:t>
      </w:r>
      <w:r w:rsidRPr="007F78BA">
        <w:rPr>
          <w:rFonts w:ascii="Times New Roman" w:eastAsia="Times New Roman" w:hAnsi="Times New Roman" w:cs="Times New Roman"/>
          <w:lang w:val="en-GB"/>
        </w:rPr>
        <w:t>respondents</w:t>
      </w:r>
      <w:r>
        <w:rPr>
          <w:rFonts w:ascii="Times New Roman" w:eastAsia="Times New Roman" w:hAnsi="Times New Roman" w:cs="Times New Roman"/>
          <w:lang w:val="en-GB"/>
        </w:rPr>
        <w:t>, to</w:t>
      </w:r>
      <w:r w:rsidRPr="00952214">
        <w:rPr>
          <w:rFonts w:ascii="Times New Roman" w:eastAsia="Times New Roman" w:hAnsi="Times New Roman" w:cs="Times New Roman"/>
          <w:lang w:val="en-GB"/>
        </w:rPr>
        <w:t xml:space="preserve"> avoid losing participants because of asking too many questions. </w:t>
      </w:r>
      <w:r>
        <w:rPr>
          <w:rFonts w:ascii="Times New Roman" w:eastAsia="Times New Roman" w:hAnsi="Times New Roman" w:cs="Times New Roman"/>
          <w:lang w:val="en-GB"/>
        </w:rPr>
        <w:t>We excluded</w:t>
      </w:r>
      <w:r w:rsidR="00116A24" w:rsidRPr="007F78BA">
        <w:rPr>
          <w:rFonts w:ascii="Times New Roman" w:eastAsia="Times New Roman" w:hAnsi="Times New Roman" w:cs="Times New Roman"/>
          <w:lang w:val="en-GB"/>
        </w:rPr>
        <w:t xml:space="preserve"> </w:t>
      </w:r>
      <w:r w:rsidR="00952214" w:rsidRPr="00952214">
        <w:rPr>
          <w:rFonts w:ascii="Times New Roman" w:eastAsia="Times New Roman" w:hAnsi="Times New Roman" w:cs="Times New Roman"/>
          <w:lang w:val="en-GB"/>
        </w:rPr>
        <w:t xml:space="preserve">MSM who did not provide answers to all seven items of </w:t>
      </w:r>
      <w:r>
        <w:rPr>
          <w:rFonts w:ascii="Times New Roman" w:eastAsia="Times New Roman" w:hAnsi="Times New Roman" w:cs="Times New Roman"/>
          <w:lang w:val="en-GB"/>
        </w:rPr>
        <w:t>the scale</w:t>
      </w:r>
      <w:r w:rsidR="0092027D">
        <w:rPr>
          <w:rFonts w:ascii="Times New Roman" w:eastAsia="Times New Roman" w:hAnsi="Times New Roman" w:cs="Times New Roman"/>
          <w:lang w:val="en-GB"/>
        </w:rPr>
        <w:t xml:space="preserve"> </w:t>
      </w:r>
      <w:r w:rsidR="0092027D" w:rsidRPr="007F78BA">
        <w:rPr>
          <w:rFonts w:ascii="Times New Roman" w:eastAsia="Times New Roman" w:hAnsi="Times New Roman" w:cs="Times New Roman"/>
          <w:lang w:val="en-GB"/>
        </w:rPr>
        <w:t xml:space="preserve">(Spain </w:t>
      </w:r>
      <w:r w:rsidR="00621B98">
        <w:rPr>
          <w:rFonts w:ascii="Times New Roman" w:eastAsia="Times New Roman" w:hAnsi="Times New Roman" w:cs="Times New Roman"/>
          <w:lang w:val="en-GB"/>
        </w:rPr>
        <w:t>n</w:t>
      </w:r>
      <w:r w:rsidR="0092027D" w:rsidRPr="007F78BA">
        <w:rPr>
          <w:rFonts w:ascii="Times New Roman" w:eastAsia="Times New Roman" w:hAnsi="Times New Roman" w:cs="Times New Roman"/>
          <w:lang w:val="en-GB"/>
        </w:rPr>
        <w:t>=</w:t>
      </w:r>
      <w:r w:rsidR="00CA0145">
        <w:rPr>
          <w:rFonts w:ascii="Times New Roman" w:eastAsia="Times New Roman" w:hAnsi="Times New Roman" w:cs="Times New Roman"/>
          <w:lang w:val="en-GB"/>
        </w:rPr>
        <w:t xml:space="preserve">6,020; </w:t>
      </w:r>
      <w:r w:rsidR="0092027D" w:rsidRPr="007F78BA">
        <w:rPr>
          <w:rFonts w:ascii="Times New Roman" w:eastAsia="Times New Roman" w:hAnsi="Times New Roman" w:cs="Times New Roman"/>
          <w:lang w:val="en-GB"/>
        </w:rPr>
        <w:t xml:space="preserve">Turkey </w:t>
      </w:r>
      <w:r w:rsidR="00621B98">
        <w:rPr>
          <w:rFonts w:ascii="Times New Roman" w:eastAsia="Times New Roman" w:hAnsi="Times New Roman" w:cs="Times New Roman"/>
          <w:lang w:val="en-GB"/>
        </w:rPr>
        <w:t>n</w:t>
      </w:r>
      <w:r w:rsidR="0092027D" w:rsidRPr="007F78BA">
        <w:rPr>
          <w:rFonts w:ascii="Times New Roman" w:eastAsia="Times New Roman" w:hAnsi="Times New Roman" w:cs="Times New Roman"/>
          <w:lang w:val="en-GB"/>
        </w:rPr>
        <w:t>=</w:t>
      </w:r>
      <w:r w:rsidR="0092027D">
        <w:rPr>
          <w:rFonts w:ascii="Times New Roman" w:eastAsia="Times New Roman" w:hAnsi="Times New Roman" w:cs="Times New Roman"/>
          <w:lang w:val="en-GB"/>
        </w:rPr>
        <w:t>1,</w:t>
      </w:r>
      <w:r w:rsidR="00CA0145">
        <w:rPr>
          <w:rFonts w:ascii="Times New Roman" w:eastAsia="Times New Roman" w:hAnsi="Times New Roman" w:cs="Times New Roman"/>
          <w:lang w:val="en-GB"/>
        </w:rPr>
        <w:t>092</w:t>
      </w:r>
      <w:r w:rsidR="0092027D" w:rsidRPr="007F78BA">
        <w:rPr>
          <w:rFonts w:ascii="Times New Roman" w:eastAsia="Times New Roman" w:hAnsi="Times New Roman" w:cs="Times New Roman"/>
          <w:lang w:val="en-GB"/>
        </w:rPr>
        <w:t xml:space="preserve">), </w:t>
      </w:r>
      <w:r>
        <w:rPr>
          <w:rFonts w:ascii="Times New Roman" w:eastAsia="Times New Roman" w:hAnsi="Times New Roman" w:cs="Times New Roman"/>
          <w:lang w:val="en-GB"/>
        </w:rPr>
        <w:t>MSM</w:t>
      </w:r>
      <w:r w:rsidR="00964593" w:rsidRPr="007F78BA">
        <w:rPr>
          <w:rFonts w:ascii="Times New Roman" w:eastAsia="Times New Roman" w:hAnsi="Times New Roman" w:cs="Times New Roman"/>
          <w:lang w:val="en-GB"/>
        </w:rPr>
        <w:t xml:space="preserve"> who reported having undetectable viral load</w:t>
      </w:r>
      <w:r w:rsidR="00CA0145">
        <w:rPr>
          <w:rFonts w:ascii="Times New Roman" w:eastAsia="Times New Roman" w:hAnsi="Times New Roman" w:cs="Times New Roman"/>
          <w:lang w:val="en-GB"/>
        </w:rPr>
        <w:t xml:space="preserve"> </w:t>
      </w:r>
      <w:r w:rsidR="00CA0145" w:rsidRPr="007F78BA">
        <w:rPr>
          <w:rFonts w:ascii="Times New Roman" w:eastAsia="Times New Roman" w:hAnsi="Times New Roman" w:cs="Times New Roman"/>
          <w:lang w:val="en-GB"/>
        </w:rPr>
        <w:t xml:space="preserve">(Spain </w:t>
      </w:r>
      <w:r w:rsidR="00621B98">
        <w:rPr>
          <w:rFonts w:ascii="Times New Roman" w:eastAsia="Times New Roman" w:hAnsi="Times New Roman" w:cs="Times New Roman"/>
          <w:lang w:val="en-GB"/>
        </w:rPr>
        <w:t>n</w:t>
      </w:r>
      <w:r w:rsidR="00CA0145" w:rsidRPr="007F78BA">
        <w:rPr>
          <w:rFonts w:ascii="Times New Roman" w:eastAsia="Times New Roman" w:hAnsi="Times New Roman" w:cs="Times New Roman"/>
          <w:lang w:val="en-GB"/>
        </w:rPr>
        <w:t>=</w:t>
      </w:r>
      <w:r w:rsidR="00CA0145">
        <w:rPr>
          <w:rFonts w:ascii="Times New Roman" w:eastAsia="Times New Roman" w:hAnsi="Times New Roman" w:cs="Times New Roman"/>
          <w:lang w:val="en-GB"/>
        </w:rPr>
        <w:t>613</w:t>
      </w:r>
      <w:r w:rsidR="00CA0145" w:rsidRPr="007F78BA">
        <w:rPr>
          <w:rFonts w:ascii="Times New Roman" w:eastAsia="Times New Roman" w:hAnsi="Times New Roman" w:cs="Times New Roman"/>
          <w:lang w:val="en-GB"/>
        </w:rPr>
        <w:t xml:space="preserve">; Turkey </w:t>
      </w:r>
      <w:r w:rsidR="00621B98">
        <w:rPr>
          <w:rFonts w:ascii="Times New Roman" w:eastAsia="Times New Roman" w:hAnsi="Times New Roman" w:cs="Times New Roman"/>
          <w:lang w:val="en-GB"/>
        </w:rPr>
        <w:t>n</w:t>
      </w:r>
      <w:r w:rsidR="00CA0145" w:rsidRPr="007F78BA">
        <w:rPr>
          <w:rFonts w:ascii="Times New Roman" w:eastAsia="Times New Roman" w:hAnsi="Times New Roman" w:cs="Times New Roman"/>
          <w:lang w:val="en-GB"/>
        </w:rPr>
        <w:t>=</w:t>
      </w:r>
      <w:r w:rsidR="00CA0145">
        <w:rPr>
          <w:rFonts w:ascii="Times New Roman" w:eastAsia="Times New Roman" w:hAnsi="Times New Roman" w:cs="Times New Roman"/>
          <w:lang w:val="en-GB"/>
        </w:rPr>
        <w:t>80</w:t>
      </w:r>
      <w:r w:rsidR="00CA0145" w:rsidRPr="007F78BA">
        <w:rPr>
          <w:rFonts w:ascii="Times New Roman" w:eastAsia="Times New Roman" w:hAnsi="Times New Roman" w:cs="Times New Roman"/>
          <w:lang w:val="en-GB"/>
        </w:rPr>
        <w:t>)</w:t>
      </w:r>
      <w:r w:rsidR="00964593" w:rsidRPr="007F78BA">
        <w:rPr>
          <w:rFonts w:ascii="Times New Roman" w:eastAsia="Times New Roman" w:hAnsi="Times New Roman" w:cs="Times New Roman"/>
          <w:lang w:val="en-GB"/>
        </w:rPr>
        <w:t xml:space="preserve">, and </w:t>
      </w:r>
      <w:r>
        <w:rPr>
          <w:rFonts w:ascii="Times New Roman" w:eastAsia="Times New Roman" w:hAnsi="Times New Roman" w:cs="Times New Roman"/>
          <w:lang w:val="en-GB"/>
        </w:rPr>
        <w:t xml:space="preserve">those using </w:t>
      </w:r>
      <w:proofErr w:type="spellStart"/>
      <w:r w:rsidR="00964593" w:rsidRPr="007F78BA">
        <w:rPr>
          <w:rFonts w:ascii="Times New Roman" w:eastAsia="Times New Roman" w:hAnsi="Times New Roman" w:cs="Times New Roman"/>
          <w:lang w:val="en-GB"/>
        </w:rPr>
        <w:t>PrEP</w:t>
      </w:r>
      <w:proofErr w:type="spellEnd"/>
      <w:r w:rsidR="00964593" w:rsidRPr="007F78BA">
        <w:rPr>
          <w:rFonts w:ascii="Times New Roman" w:eastAsia="Times New Roman" w:hAnsi="Times New Roman" w:cs="Times New Roman"/>
          <w:lang w:val="en-GB"/>
        </w:rPr>
        <w:t xml:space="preserve"> (Spain </w:t>
      </w:r>
      <w:r w:rsidR="00621B98">
        <w:rPr>
          <w:rFonts w:ascii="Times New Roman" w:eastAsia="Times New Roman" w:hAnsi="Times New Roman" w:cs="Times New Roman"/>
          <w:lang w:val="en-GB"/>
        </w:rPr>
        <w:t>n</w:t>
      </w:r>
      <w:r w:rsidR="00964593" w:rsidRPr="007F78BA">
        <w:rPr>
          <w:rFonts w:ascii="Times New Roman" w:eastAsia="Times New Roman" w:hAnsi="Times New Roman" w:cs="Times New Roman"/>
          <w:lang w:val="en-GB"/>
        </w:rPr>
        <w:t>=</w:t>
      </w:r>
      <w:r w:rsidR="00CA0145">
        <w:rPr>
          <w:rFonts w:ascii="Times New Roman" w:eastAsia="Times New Roman" w:hAnsi="Times New Roman" w:cs="Times New Roman"/>
          <w:lang w:val="en-GB"/>
        </w:rPr>
        <w:t>117</w:t>
      </w:r>
      <w:r w:rsidR="00964593" w:rsidRPr="007F78BA">
        <w:rPr>
          <w:rFonts w:ascii="Times New Roman" w:eastAsia="Times New Roman" w:hAnsi="Times New Roman" w:cs="Times New Roman"/>
          <w:lang w:val="en-GB"/>
        </w:rPr>
        <w:t xml:space="preserve">; Turkey </w:t>
      </w:r>
      <w:r w:rsidR="00621B98">
        <w:rPr>
          <w:rFonts w:ascii="Times New Roman" w:eastAsia="Times New Roman" w:hAnsi="Times New Roman" w:cs="Times New Roman"/>
          <w:lang w:val="en-GB"/>
        </w:rPr>
        <w:t>n</w:t>
      </w:r>
      <w:r w:rsidR="00964593" w:rsidRPr="007F78BA">
        <w:rPr>
          <w:rFonts w:ascii="Times New Roman" w:eastAsia="Times New Roman" w:hAnsi="Times New Roman" w:cs="Times New Roman"/>
          <w:lang w:val="en-GB"/>
        </w:rPr>
        <w:t>=</w:t>
      </w:r>
      <w:r w:rsidR="00CA0145">
        <w:rPr>
          <w:rFonts w:ascii="Times New Roman" w:eastAsia="Times New Roman" w:hAnsi="Times New Roman" w:cs="Times New Roman"/>
          <w:lang w:val="en-GB"/>
        </w:rPr>
        <w:t>11</w:t>
      </w:r>
      <w:r w:rsidR="00964593" w:rsidRPr="007F78BA">
        <w:rPr>
          <w:rFonts w:ascii="Times New Roman" w:eastAsia="Times New Roman" w:hAnsi="Times New Roman" w:cs="Times New Roman"/>
          <w:lang w:val="en-GB"/>
        </w:rPr>
        <w:t xml:space="preserve">), because condomless anal intercourse among men with undetectable viral load or using </w:t>
      </w:r>
      <w:proofErr w:type="spellStart"/>
      <w:r w:rsidR="00964593" w:rsidRPr="007F78BA">
        <w:rPr>
          <w:rFonts w:ascii="Times New Roman" w:eastAsia="Times New Roman" w:hAnsi="Times New Roman" w:cs="Times New Roman"/>
          <w:lang w:val="en-GB"/>
        </w:rPr>
        <w:t>PrEP</w:t>
      </w:r>
      <w:proofErr w:type="spellEnd"/>
      <w:r w:rsidR="00964593" w:rsidRPr="007F78BA">
        <w:rPr>
          <w:rFonts w:ascii="Times New Roman" w:eastAsia="Times New Roman" w:hAnsi="Times New Roman" w:cs="Times New Roman"/>
          <w:lang w:val="en-GB"/>
        </w:rPr>
        <w:t xml:space="preserve"> bear </w:t>
      </w:r>
      <w:r>
        <w:rPr>
          <w:rFonts w:ascii="Times New Roman" w:eastAsia="Times New Roman" w:hAnsi="Times New Roman" w:cs="Times New Roman"/>
          <w:lang w:val="en-GB"/>
        </w:rPr>
        <w:t>no</w:t>
      </w:r>
      <w:r w:rsidRPr="007F78BA">
        <w:rPr>
          <w:rFonts w:ascii="Times New Roman" w:eastAsia="Times New Roman" w:hAnsi="Times New Roman" w:cs="Times New Roman"/>
          <w:lang w:val="en-GB"/>
        </w:rPr>
        <w:t xml:space="preserve"> </w:t>
      </w:r>
      <w:r w:rsidR="00964593" w:rsidRPr="007F78BA">
        <w:rPr>
          <w:rFonts w:ascii="Times New Roman" w:eastAsia="Times New Roman" w:hAnsi="Times New Roman" w:cs="Times New Roman"/>
          <w:lang w:val="en-GB"/>
        </w:rPr>
        <w:t>intrinsic HIV risk.</w:t>
      </w:r>
      <w:r w:rsidR="004E0DF0" w:rsidRPr="007F78BA">
        <w:rPr>
          <w:rFonts w:ascii="Times New Roman" w:eastAsia="Times New Roman" w:hAnsi="Times New Roman" w:cs="Times New Roman"/>
          <w:lang w:val="en-GB"/>
        </w:rPr>
        <w:t xml:space="preserve"> Therefore, </w:t>
      </w:r>
      <w:r>
        <w:rPr>
          <w:rFonts w:ascii="Times New Roman" w:eastAsia="Times New Roman" w:hAnsi="Times New Roman" w:cs="Times New Roman"/>
          <w:lang w:val="en-GB"/>
        </w:rPr>
        <w:t>our</w:t>
      </w:r>
      <w:r w:rsidRPr="007F78BA">
        <w:rPr>
          <w:rFonts w:ascii="Times New Roman" w:eastAsia="Times New Roman" w:hAnsi="Times New Roman" w:cs="Times New Roman"/>
          <w:lang w:val="en-GB"/>
        </w:rPr>
        <w:t xml:space="preserve"> </w:t>
      </w:r>
      <w:r w:rsidR="004E0DF0" w:rsidRPr="007F78BA">
        <w:rPr>
          <w:rFonts w:ascii="Times New Roman" w:eastAsia="Times New Roman" w:hAnsi="Times New Roman" w:cs="Times New Roman"/>
          <w:lang w:val="en-GB"/>
        </w:rPr>
        <w:t xml:space="preserve">final analytical sample </w:t>
      </w:r>
      <w:r w:rsidRPr="007F78BA">
        <w:rPr>
          <w:rFonts w:ascii="Times New Roman" w:eastAsia="Times New Roman" w:hAnsi="Times New Roman" w:cs="Times New Roman"/>
          <w:lang w:val="en-GB"/>
        </w:rPr>
        <w:t>consist</w:t>
      </w:r>
      <w:r>
        <w:rPr>
          <w:rFonts w:ascii="Times New Roman" w:eastAsia="Times New Roman" w:hAnsi="Times New Roman" w:cs="Times New Roman"/>
          <w:lang w:val="en-GB"/>
        </w:rPr>
        <w:t>ed</w:t>
      </w:r>
      <w:r w:rsidRPr="007F78BA">
        <w:rPr>
          <w:rFonts w:ascii="Times New Roman" w:eastAsia="Times New Roman" w:hAnsi="Times New Roman" w:cs="Times New Roman"/>
          <w:lang w:val="en-GB"/>
        </w:rPr>
        <w:t xml:space="preserve"> </w:t>
      </w:r>
      <w:r w:rsidR="004E0DF0" w:rsidRPr="007F78BA">
        <w:rPr>
          <w:rFonts w:ascii="Times New Roman" w:eastAsia="Times New Roman" w:hAnsi="Times New Roman" w:cs="Times New Roman"/>
          <w:lang w:val="en-GB"/>
        </w:rPr>
        <w:t>of 3,</w:t>
      </w:r>
      <w:r w:rsidR="00CA0145">
        <w:rPr>
          <w:rFonts w:ascii="Times New Roman" w:eastAsia="Times New Roman" w:hAnsi="Times New Roman" w:cs="Times New Roman"/>
          <w:lang w:val="en-GB"/>
        </w:rPr>
        <w:t>902</w:t>
      </w:r>
      <w:r w:rsidR="004E0DF0" w:rsidRPr="007F78BA">
        <w:rPr>
          <w:rFonts w:ascii="Times New Roman" w:eastAsia="Times New Roman" w:hAnsi="Times New Roman" w:cs="Times New Roman"/>
          <w:lang w:val="en-GB"/>
        </w:rPr>
        <w:t xml:space="preserve"> MSM in Spain and </w:t>
      </w:r>
      <w:r w:rsidR="00CA0145">
        <w:rPr>
          <w:rFonts w:ascii="Times New Roman" w:eastAsia="Times New Roman" w:hAnsi="Times New Roman" w:cs="Times New Roman"/>
          <w:lang w:val="en-GB"/>
        </w:rPr>
        <w:t>672</w:t>
      </w:r>
      <w:r w:rsidR="004E0DF0" w:rsidRPr="007F78BA">
        <w:rPr>
          <w:rFonts w:ascii="Times New Roman" w:eastAsia="Times New Roman" w:hAnsi="Times New Roman" w:cs="Times New Roman"/>
          <w:lang w:val="en-GB"/>
        </w:rPr>
        <w:t xml:space="preserve"> MSM in Turkey. </w:t>
      </w:r>
    </w:p>
    <w:p w14:paraId="0157992A" w14:textId="77777777" w:rsidR="00076C4A" w:rsidRPr="007F78BA" w:rsidRDefault="00076C4A" w:rsidP="00076C4A">
      <w:pPr>
        <w:rPr>
          <w:lang w:val="en-GB"/>
        </w:rPr>
      </w:pPr>
    </w:p>
    <w:p w14:paraId="0E342DD7" w14:textId="7A08BA6B" w:rsidR="00FD34CB" w:rsidRPr="007F78BA" w:rsidRDefault="00FD34CB" w:rsidP="00FD34CB">
      <w:pPr>
        <w:pStyle w:val="Overskrift2"/>
        <w:rPr>
          <w:lang w:val="en-GB"/>
        </w:rPr>
      </w:pPr>
      <w:r w:rsidRPr="007F78BA">
        <w:rPr>
          <w:lang w:val="en-GB"/>
        </w:rPr>
        <w:t>Measurements</w:t>
      </w:r>
    </w:p>
    <w:p w14:paraId="6C8E74A9" w14:textId="27A1DEFE" w:rsidR="00215877" w:rsidRDefault="003C79B2" w:rsidP="00215877">
      <w:pPr>
        <w:spacing w:line="276" w:lineRule="auto"/>
        <w:ind w:firstLine="720"/>
        <w:jc w:val="both"/>
        <w:rPr>
          <w:rFonts w:ascii="Times New Roman" w:eastAsia="Times New Roman" w:hAnsi="Times New Roman" w:cs="Times New Roman"/>
          <w:lang w:val="en-GB"/>
        </w:rPr>
      </w:pPr>
      <w:r w:rsidRPr="007F78BA">
        <w:rPr>
          <w:rFonts w:ascii="Times New Roman" w:eastAsia="Times New Roman" w:hAnsi="Times New Roman" w:cs="Times New Roman"/>
          <w:i/>
          <w:lang w:val="en-GB"/>
        </w:rPr>
        <w:t>Internalised homonegativity</w:t>
      </w:r>
      <w:r w:rsidR="00E21ACD">
        <w:rPr>
          <w:rFonts w:ascii="Times New Roman" w:eastAsia="Times New Roman" w:hAnsi="Times New Roman" w:cs="Times New Roman"/>
          <w:i/>
          <w:lang w:val="en-GB"/>
        </w:rPr>
        <w:t>.</w:t>
      </w:r>
      <w:r w:rsidRPr="007F78BA">
        <w:rPr>
          <w:rFonts w:ascii="Times New Roman" w:eastAsia="Times New Roman" w:hAnsi="Times New Roman" w:cs="Times New Roman"/>
          <w:lang w:val="en-GB"/>
        </w:rPr>
        <w:t xml:space="preserve"> To assess </w:t>
      </w:r>
      <w:r w:rsidR="00E21ACD">
        <w:rPr>
          <w:rFonts w:ascii="Times New Roman" w:eastAsia="Times New Roman" w:hAnsi="Times New Roman" w:cs="Times New Roman"/>
          <w:lang w:val="en-GB"/>
        </w:rPr>
        <w:t>IH</w:t>
      </w:r>
      <w:r w:rsidRPr="007F78BA">
        <w:rPr>
          <w:rFonts w:ascii="Times New Roman" w:eastAsia="Times New Roman" w:hAnsi="Times New Roman" w:cs="Times New Roman"/>
          <w:lang w:val="en-GB"/>
        </w:rPr>
        <w:t xml:space="preserve">, we used the 7-item SIHS </w:t>
      </w:r>
      <w:r w:rsidRPr="007F78BA">
        <w:rPr>
          <w:rFonts w:ascii="Times New Roman" w:eastAsia="Times New Roman" w:hAnsi="Times New Roman" w:cs="Times New Roman"/>
          <w:lang w:val="en-GB"/>
        </w:rPr>
        <w:fldChar w:fldCharType="begin"/>
      </w:r>
      <w:r w:rsidR="006C1441">
        <w:rPr>
          <w:rFonts w:ascii="Times New Roman" w:eastAsia="Times New Roman" w:hAnsi="Times New Roman" w:cs="Times New Roman"/>
          <w:lang w:val="en-GB"/>
        </w:rPr>
        <w:instrText xml:space="preserve"> ADDIN ZOTERO_ITEM CSL_CITATION {"citationID":"hyuSp6WY","properties":{"formattedCitation":"(Berg et al., 2013; Tran et al., 2018)","plainCitation":"(Berg et al., 2013; Tran et al., 2018)","noteIndex":0},"citationItems":[{"id":760,"uris":["http://zotero.org/users/5061103/items/XHSLXDA9"],"uri":["http://zotero.org/users/5061103/items/XHSLXDA9"],"itemData":{"id":760,"type":"article-journal","abstract":"Internalised homonegativity refers to a gay person’s negative feelings about homosexuality and is believed to stem from negative societal stereotypes and attitudes towards homosexuality. Surprisingly, little research has centred on this link. In this research, we aimed to examine the associations between internalised homonegativity and structural forces, cultural inﬂuence, and access to sexual health promotion measures among a sample of 144,177 men who have sex with men (MSM) in 38 European countries. Participants were recruited as part of the European MSM Internet Survey (EMIS) during 2010. It was a self-completion, multilingual Internet-based survey for men living in Europe who have sex with men and/or feel attracted to men. Assumed causal relations were tested through multiple regression models. Variables at the structure of rule-systems (macro-level) that were signiﬁcantly and negatively associated with internalised homonegativity were the presence of laws recognising same-sex relationships and same-sex adoption. In the meso-level model, greater proportions of the population expressing that they would not like to have homosexuals as neighbours predicted higher internalised homonegativity. In the last model, ﬁve variables were signiﬁcantly and negatively associated with internalised homonegativity: being exposed to HIV/STI information for MSM, access to HIV testing, access to STI testing, access to condoms, and experience of gay-related hostility. In turn, men who had tested for HIV in the past year evidenced lower internalised homonegativity. This is the largest and certainly most geographically diverse study to date to examine structural and environmental predictors of internalised homonegativity among MSM. Our results show that one insidious consequence of society’s stigma towards homosexuals is the internalisation of that stigma by gay and bisexual men themselves, thus, drawing attention to the importance of promoting social equity for self-acceptance around gay identity in building a positive sense of self.","container-title":"Social Science &amp; Medicine","DOI":"10.1016/j.socscimed.2012.11.033","ISSN":"02779536","language":"en","page":"61-69","source":"Crossref","title":"Structural and environmental factors are associated with internalised homonegativity in men who have sex with men: Findings from the European MSM Internet Survey (EMIS) in 38 countries","title-short":"Structural and environmental factors are associated with internalised homonegativity in men who have sex with men","volume":"78","author":[{"family":"Berg","given":"Rigmor C."},{"family":"Ross","given":"Michael W."},{"family":"Weatherburn","given":"Peter"},{"family":"Schmidt","given":"Axel J."}],"issued":{"date-parts":[["2013",2]]}}},{"id":740,"uris":["http://zotero.org/users/5061103/items/6D5GTDNH"],"uri":["http://zotero.org/users/5061103/items/6D5GTDNH"],"itemData":{"id":740,"type":"article-journal","container-title":"The Journal of Sex Research","DOI":"10.1080/00224499.2017.1380158","ISSN":"0022-4499, 1559-8519","issue":"4-5","language":"en","page":"617-629","source":"Crossref","title":"Structural Validation and Multiple Group Assessment of the Short Internalized Homonegativity Scale in Homosexual and Bisexual Men in 38 European Countries: Results from the European MSM Internet Survey","title-short":"Structural Validation and Multiple Group Assessment of the Short Internalized Homonegativity Scale in Homosexual and Bisexual Men in 38 European Countries","volume":"55","author":[{"family":"Tran","given":"Ha"},{"family":"Ross","given":"Michael W."},{"family":"Diamond","given":"Pamela M."},{"family":"Berg","given":"Rigmor C."},{"family":"Weatherburn","given":"Peter"},{"family":"Schmidt","given":"Axel J."}],"issued":{"date-parts":[["2018",6,13]]}}}],"schema":"https://github.com/citation-style-language/schema/raw/master/csl-citation.json"} </w:instrText>
      </w:r>
      <w:r w:rsidRPr="007F78BA">
        <w:rPr>
          <w:rFonts w:ascii="Times New Roman" w:eastAsia="Times New Roman" w:hAnsi="Times New Roman" w:cs="Times New Roman"/>
          <w:lang w:val="en-GB"/>
        </w:rPr>
        <w:fldChar w:fldCharType="separate"/>
      </w:r>
      <w:r w:rsidR="00A83594">
        <w:rPr>
          <w:rFonts w:ascii="Times New Roman" w:eastAsia="Times New Roman" w:hAnsi="Times New Roman" w:cs="Times New Roman"/>
          <w:lang w:val="en-GB"/>
        </w:rPr>
        <w:t>(Berg et al., 2013; Tran et al., 2018)</w:t>
      </w:r>
      <w:r w:rsidRPr="007F78BA">
        <w:rPr>
          <w:rFonts w:ascii="Times New Roman" w:eastAsia="Times New Roman" w:hAnsi="Times New Roman" w:cs="Times New Roman"/>
          <w:lang w:val="en-GB"/>
        </w:rPr>
        <w:fldChar w:fldCharType="end"/>
      </w:r>
      <w:r w:rsidRPr="007F78BA">
        <w:rPr>
          <w:rFonts w:ascii="Times New Roman" w:eastAsia="Times New Roman" w:hAnsi="Times New Roman" w:cs="Times New Roman"/>
          <w:lang w:val="en-GB"/>
        </w:rPr>
        <w:t xml:space="preserve">. EMIS-2017 participants answered </w:t>
      </w:r>
      <w:r w:rsidR="00E21ACD">
        <w:rPr>
          <w:rFonts w:ascii="Times New Roman" w:eastAsia="Times New Roman" w:hAnsi="Times New Roman" w:cs="Times New Roman"/>
          <w:lang w:val="en-GB"/>
        </w:rPr>
        <w:t>the</w:t>
      </w:r>
      <w:r w:rsidR="00E21ACD" w:rsidRPr="007F78BA">
        <w:rPr>
          <w:rFonts w:ascii="Times New Roman" w:eastAsia="Times New Roman" w:hAnsi="Times New Roman" w:cs="Times New Roman"/>
          <w:lang w:val="en-GB"/>
        </w:rPr>
        <w:t xml:space="preserve"> </w:t>
      </w:r>
      <w:r w:rsidRPr="007F78BA">
        <w:rPr>
          <w:rFonts w:ascii="Times New Roman" w:eastAsia="Times New Roman" w:hAnsi="Times New Roman" w:cs="Times New Roman"/>
          <w:lang w:val="en-GB"/>
        </w:rPr>
        <w:t xml:space="preserve">items on a 7-point disagree-agree (with does-not-apply) scale. The </w:t>
      </w:r>
      <w:r w:rsidR="00E21ACD" w:rsidRPr="007F78BA">
        <w:rPr>
          <w:rFonts w:ascii="Times New Roman" w:eastAsia="Times New Roman" w:hAnsi="Times New Roman" w:cs="Times New Roman"/>
          <w:lang w:val="en-GB"/>
        </w:rPr>
        <w:t xml:space="preserve">SIHS </w:t>
      </w:r>
      <w:r w:rsidRPr="007F78BA">
        <w:rPr>
          <w:rFonts w:ascii="Times New Roman" w:eastAsia="Times New Roman" w:hAnsi="Times New Roman" w:cs="Times New Roman"/>
          <w:lang w:val="en-GB"/>
        </w:rPr>
        <w:t xml:space="preserve">items </w:t>
      </w:r>
      <w:r w:rsidR="00E21ACD">
        <w:rPr>
          <w:rFonts w:ascii="Times New Roman" w:eastAsia="Times New Roman" w:hAnsi="Times New Roman" w:cs="Times New Roman"/>
          <w:lang w:val="en-GB"/>
        </w:rPr>
        <w:t>are</w:t>
      </w:r>
      <w:r w:rsidR="00E21ACD" w:rsidRPr="007F78BA">
        <w:rPr>
          <w:rFonts w:ascii="Times New Roman" w:eastAsia="Times New Roman" w:hAnsi="Times New Roman" w:cs="Times New Roman"/>
          <w:lang w:val="en-GB"/>
        </w:rPr>
        <w:t xml:space="preserve"> </w:t>
      </w:r>
      <w:r w:rsidRPr="007F78BA">
        <w:rPr>
          <w:rFonts w:ascii="Times New Roman" w:eastAsia="Times New Roman" w:hAnsi="Times New Roman" w:cs="Times New Roman"/>
          <w:lang w:val="en-GB"/>
        </w:rPr>
        <w:t>“</w:t>
      </w:r>
      <w:r w:rsidR="00E21ACD">
        <w:rPr>
          <w:rFonts w:ascii="Times New Roman" w:eastAsia="Times New Roman" w:hAnsi="Times New Roman" w:cs="Times New Roman"/>
          <w:lang w:val="en-GB"/>
        </w:rPr>
        <w:t>S</w:t>
      </w:r>
      <w:r w:rsidRPr="007F78BA">
        <w:rPr>
          <w:rFonts w:ascii="Times New Roman" w:eastAsia="Times New Roman" w:hAnsi="Times New Roman" w:cs="Times New Roman"/>
          <w:lang w:val="en-GB"/>
        </w:rPr>
        <w:t>ocial situations with gay men make me feel uncomfortable”; “</w:t>
      </w:r>
      <w:r w:rsidR="00E21ACD">
        <w:rPr>
          <w:rFonts w:ascii="Times New Roman" w:eastAsia="Times New Roman" w:hAnsi="Times New Roman" w:cs="Times New Roman"/>
          <w:lang w:val="en-GB"/>
        </w:rPr>
        <w:t>H</w:t>
      </w:r>
      <w:r w:rsidRPr="007F78BA">
        <w:rPr>
          <w:rFonts w:ascii="Times New Roman" w:eastAsia="Times New Roman" w:hAnsi="Times New Roman" w:cs="Times New Roman"/>
          <w:lang w:val="en-GB"/>
        </w:rPr>
        <w:t>omosexuality is morally acceptable to me”; “</w:t>
      </w:r>
      <w:r w:rsidR="00E21ACD">
        <w:rPr>
          <w:rFonts w:ascii="Times New Roman" w:eastAsia="Times New Roman" w:hAnsi="Times New Roman" w:cs="Times New Roman"/>
          <w:lang w:val="en-GB"/>
        </w:rPr>
        <w:t>E</w:t>
      </w:r>
      <w:r w:rsidRPr="007F78BA">
        <w:rPr>
          <w:rFonts w:ascii="Times New Roman" w:eastAsia="Times New Roman" w:hAnsi="Times New Roman" w:cs="Times New Roman"/>
          <w:lang w:val="en-GB"/>
        </w:rPr>
        <w:t>ven if I could change my sexual orientation, I wouldn't”; “I feel comfortable in gay bars”; “I feel comfortable being seen in public with an obviously gay person”; “I feel comfortable being a homosexual man”; “</w:t>
      </w:r>
      <w:r w:rsidR="00E21ACD">
        <w:rPr>
          <w:rFonts w:ascii="Times New Roman" w:eastAsia="Times New Roman" w:hAnsi="Times New Roman" w:cs="Times New Roman"/>
          <w:lang w:val="en-GB"/>
        </w:rPr>
        <w:t>E</w:t>
      </w:r>
      <w:r w:rsidRPr="007F78BA">
        <w:rPr>
          <w:rFonts w:ascii="Times New Roman" w:eastAsia="Times New Roman" w:hAnsi="Times New Roman" w:cs="Times New Roman"/>
          <w:lang w:val="en-GB"/>
        </w:rPr>
        <w:t xml:space="preserve">ven if I could change my sexual orientation, I wouldn't”. </w:t>
      </w:r>
      <w:r w:rsidR="00215877" w:rsidRPr="00215877">
        <w:rPr>
          <w:rFonts w:ascii="Times New Roman" w:eastAsia="Times New Roman" w:hAnsi="Times New Roman" w:cs="Times New Roman"/>
          <w:lang w:val="en-GB"/>
        </w:rPr>
        <w:t>The validity and reliability of SIHS were confirmed across 38 European countries, with multigroup validation for 7-item scale fit indices showing good fit to data from 38 country groups (CFI=0.982, TLI=0.983, and RMSEA=0.032) (see</w:t>
      </w:r>
      <w:r w:rsidR="00215877">
        <w:rPr>
          <w:rFonts w:ascii="Times New Roman" w:eastAsia="Times New Roman" w:hAnsi="Times New Roman" w:cs="Times New Roman"/>
          <w:lang w:val="en-GB"/>
        </w:rPr>
        <w:t xml:space="preserve"> </w:t>
      </w:r>
      <w:r w:rsidR="00215877">
        <w:rPr>
          <w:rFonts w:ascii="Times New Roman" w:eastAsia="Times New Roman" w:hAnsi="Times New Roman" w:cs="Times New Roman"/>
          <w:lang w:val="en-GB"/>
        </w:rPr>
        <w:fldChar w:fldCharType="begin"/>
      </w:r>
      <w:r w:rsidR="006C1441">
        <w:rPr>
          <w:rFonts w:ascii="Times New Roman" w:eastAsia="Times New Roman" w:hAnsi="Times New Roman" w:cs="Times New Roman"/>
          <w:lang w:val="en-GB"/>
        </w:rPr>
        <w:instrText xml:space="preserve"> ADDIN ZOTERO_ITEM CSL_CITATION {"citationID":"b2OPw1Er","properties":{"formattedCitation":"(Tran et al., 2018)","plainCitation":"(Tran et al., 2018)","dontUpdate":true,"noteIndex":0},"citationItems":[{"id":740,"uris":["http://zotero.org/users/5061103/items/6D5GTDNH"],"uri":["http://zotero.org/users/5061103/items/6D5GTDNH"],"itemData":{"id":740,"type":"article-journal","container-title":"The Journal of Sex Research","DOI":"10.1080/00224499.2017.1380158","ISSN":"0022-4499, 1559-8519","issue":"4-5","language":"en","page":"617-629","source":"Crossref","title":"Structural Validation and Multiple Group Assessment of the Short Internalized Homonegativity Scale in Homosexual and Bisexual Men in 38 European Countries: Results from the European MSM Internet Survey","title-short":"Structural Validation and Multiple Group Assessment of the Short Internalized Homonegativity Scale in Homosexual and Bisexual Men in 38 European Countries","volume":"55","author":[{"family":"Tran","given":"Ha"},{"family":"Ross","given":"Michael W."},{"family":"Diamond","given":"Pamela M."},{"family":"Berg","given":"Rigmor C."},{"family":"Weatherburn","given":"Peter"},{"family":"Schmidt","given":"Axel J."}],"issued":{"date-parts":[["2018",6,13]]}}}],"schema":"https://github.com/citation-style-language/schema/raw/master/csl-citation.json"} </w:instrText>
      </w:r>
      <w:r w:rsidR="00215877">
        <w:rPr>
          <w:rFonts w:ascii="Times New Roman" w:eastAsia="Times New Roman" w:hAnsi="Times New Roman" w:cs="Times New Roman"/>
          <w:lang w:val="en-GB"/>
        </w:rPr>
        <w:fldChar w:fldCharType="separate"/>
      </w:r>
      <w:r w:rsidR="00215877">
        <w:rPr>
          <w:rFonts w:ascii="Times New Roman" w:eastAsia="Times New Roman" w:hAnsi="Times New Roman" w:cs="Times New Roman"/>
          <w:noProof/>
          <w:lang w:val="en-GB"/>
        </w:rPr>
        <w:t>Tran et al. (2018)</w:t>
      </w:r>
      <w:r w:rsidR="00215877">
        <w:rPr>
          <w:rFonts w:ascii="Times New Roman" w:eastAsia="Times New Roman" w:hAnsi="Times New Roman" w:cs="Times New Roman"/>
          <w:lang w:val="en-GB"/>
        </w:rPr>
        <w:fldChar w:fldCharType="end"/>
      </w:r>
      <w:r w:rsidR="00215877" w:rsidRPr="00215877">
        <w:rPr>
          <w:rFonts w:ascii="Times New Roman" w:eastAsia="Times New Roman" w:hAnsi="Times New Roman" w:cs="Times New Roman"/>
          <w:lang w:val="en-GB"/>
        </w:rPr>
        <w:t xml:space="preserve"> for further statistics). </w:t>
      </w:r>
    </w:p>
    <w:p w14:paraId="43485AF7" w14:textId="0BD099B0" w:rsidR="003C79B2" w:rsidRPr="007F78BA" w:rsidRDefault="003C79B2" w:rsidP="003C79B2">
      <w:pPr>
        <w:spacing w:line="276" w:lineRule="auto"/>
        <w:ind w:firstLine="720"/>
        <w:jc w:val="both"/>
        <w:rPr>
          <w:rFonts w:ascii="Times New Roman" w:eastAsia="Times New Roman" w:hAnsi="Times New Roman" w:cs="Times New Roman"/>
          <w:lang w:val="en-GB"/>
        </w:rPr>
      </w:pPr>
      <w:r w:rsidRPr="007F78BA">
        <w:rPr>
          <w:rFonts w:ascii="Times New Roman" w:eastAsia="Times New Roman" w:hAnsi="Times New Roman" w:cs="Times New Roman"/>
          <w:i/>
          <w:lang w:val="en-GB"/>
        </w:rPr>
        <w:t>Sexual Risk Behaviour (SRB</w:t>
      </w:r>
      <w:r w:rsidR="003E7672">
        <w:rPr>
          <w:rFonts w:ascii="Times New Roman" w:eastAsia="Times New Roman" w:hAnsi="Times New Roman" w:cs="Times New Roman"/>
          <w:i/>
          <w:lang w:val="en-GB"/>
        </w:rPr>
        <w:t>)</w:t>
      </w:r>
      <w:r w:rsidR="00E21ACD">
        <w:rPr>
          <w:rFonts w:ascii="Times New Roman" w:eastAsia="Times New Roman" w:hAnsi="Times New Roman" w:cs="Times New Roman"/>
          <w:i/>
          <w:lang w:val="en-GB"/>
        </w:rPr>
        <w:t>.</w:t>
      </w:r>
      <w:r w:rsidRPr="007F78BA">
        <w:rPr>
          <w:rFonts w:ascii="Times New Roman" w:eastAsia="Times New Roman" w:hAnsi="Times New Roman" w:cs="Times New Roman"/>
          <w:lang w:val="en-GB"/>
        </w:rPr>
        <w:t xml:space="preserve"> SRB of the respondents was assessed with a single question: “</w:t>
      </w:r>
      <w:r w:rsidR="00E21ACD">
        <w:rPr>
          <w:rFonts w:ascii="Times New Roman" w:eastAsia="Times New Roman" w:hAnsi="Times New Roman" w:cs="Times New Roman"/>
          <w:lang w:val="en-GB"/>
        </w:rPr>
        <w:t>H</w:t>
      </w:r>
      <w:r w:rsidRPr="007F78BA">
        <w:rPr>
          <w:rFonts w:ascii="Times New Roman" w:eastAsia="Times New Roman" w:hAnsi="Times New Roman" w:cs="Times New Roman"/>
          <w:lang w:val="en-GB"/>
        </w:rPr>
        <w:t xml:space="preserve">ow many non-steady male partners have you had intercourse without a condom with in the last 12 months?” </w:t>
      </w:r>
      <w:r w:rsidR="00E21ACD">
        <w:rPr>
          <w:rFonts w:ascii="Times New Roman" w:eastAsia="Times New Roman" w:hAnsi="Times New Roman" w:cs="Times New Roman"/>
          <w:lang w:val="en-GB"/>
        </w:rPr>
        <w:t>P</w:t>
      </w:r>
      <w:r w:rsidRPr="007F78BA">
        <w:rPr>
          <w:rFonts w:ascii="Times New Roman" w:eastAsia="Times New Roman" w:hAnsi="Times New Roman" w:cs="Times New Roman"/>
          <w:lang w:val="en-GB"/>
        </w:rPr>
        <w:t xml:space="preserve">articipants were informed that non-steady partners </w:t>
      </w:r>
      <w:proofErr w:type="gramStart"/>
      <w:r w:rsidRPr="007F78BA">
        <w:rPr>
          <w:rFonts w:ascii="Times New Roman" w:eastAsia="Times New Roman" w:hAnsi="Times New Roman" w:cs="Times New Roman"/>
          <w:lang w:val="en-GB"/>
        </w:rPr>
        <w:t>mean</w:t>
      </w:r>
      <w:r w:rsidR="003E7672">
        <w:rPr>
          <w:rFonts w:ascii="Times New Roman" w:eastAsia="Times New Roman" w:hAnsi="Times New Roman" w:cs="Times New Roman"/>
          <w:lang w:val="en-GB"/>
        </w:rPr>
        <w:t>s</w:t>
      </w:r>
      <w:proofErr w:type="gramEnd"/>
      <w:r w:rsidRPr="007F78BA">
        <w:rPr>
          <w:rFonts w:ascii="Times New Roman" w:eastAsia="Times New Roman" w:hAnsi="Times New Roman" w:cs="Times New Roman"/>
          <w:lang w:val="en-GB"/>
        </w:rPr>
        <w:t xml:space="preserve"> “men you have had sex with once only, and men you have sex with more than once but who you don’t think of as a steady partner (including one-night stands, anonymous and casual partners, regular sex buddies)”. The possible answer options for this question in the survey ranged from 0 to 15; with numbers 0 to 10 equivalent to their values, and numbers 11 to 15 indicating 11–20, 21–30, 31–40, 41–50, and more than 50 partners respondents had condomless intercourse with. We recoded this variable into seven categories: 0; 1; 2–5; 6–10; 11–20; 20–50; and more than 50. </w:t>
      </w:r>
      <w:r w:rsidR="00E21ACD">
        <w:rPr>
          <w:rFonts w:ascii="Times New Roman" w:eastAsia="Times New Roman" w:hAnsi="Times New Roman" w:cs="Times New Roman"/>
          <w:lang w:val="en-GB"/>
        </w:rPr>
        <w:t>Note</w:t>
      </w:r>
      <w:r w:rsidRPr="007F78BA">
        <w:rPr>
          <w:rFonts w:ascii="Times New Roman" w:eastAsia="Times New Roman" w:hAnsi="Times New Roman" w:cs="Times New Roman"/>
          <w:lang w:val="en-GB"/>
        </w:rPr>
        <w:t xml:space="preserve"> that our definition of the risk behaviour is related to HIV risk and does not relate directly to other STIs. </w:t>
      </w:r>
    </w:p>
    <w:p w14:paraId="49D68E85" w14:textId="7D9446DE" w:rsidR="003C79B2" w:rsidRPr="007F78BA" w:rsidRDefault="003C79B2" w:rsidP="003C79B2">
      <w:pPr>
        <w:spacing w:line="276" w:lineRule="auto"/>
        <w:ind w:firstLine="720"/>
        <w:jc w:val="both"/>
        <w:rPr>
          <w:rFonts w:ascii="Times New Roman" w:eastAsia="Times New Roman" w:hAnsi="Times New Roman" w:cs="Times New Roman"/>
          <w:lang w:val="en-GB"/>
        </w:rPr>
      </w:pPr>
      <w:r w:rsidRPr="007F78BA">
        <w:rPr>
          <w:rFonts w:ascii="Times New Roman" w:eastAsia="Times New Roman" w:hAnsi="Times New Roman" w:cs="Times New Roman"/>
          <w:i/>
          <w:lang w:val="en-GB"/>
        </w:rPr>
        <w:t>HIV/</w:t>
      </w:r>
      <w:proofErr w:type="spellStart"/>
      <w:r w:rsidRPr="007F78BA">
        <w:rPr>
          <w:rFonts w:ascii="Times New Roman" w:eastAsia="Times New Roman" w:hAnsi="Times New Roman" w:cs="Times New Roman"/>
          <w:i/>
          <w:lang w:val="en-GB"/>
        </w:rPr>
        <w:t>PrEP</w:t>
      </w:r>
      <w:proofErr w:type="spellEnd"/>
      <w:r w:rsidRPr="007F78BA">
        <w:rPr>
          <w:rFonts w:ascii="Times New Roman" w:eastAsia="Times New Roman" w:hAnsi="Times New Roman" w:cs="Times New Roman"/>
          <w:i/>
          <w:lang w:val="en-GB"/>
        </w:rPr>
        <w:t xml:space="preserve"> Knowledge</w:t>
      </w:r>
      <w:r w:rsidR="00E21ACD">
        <w:rPr>
          <w:rFonts w:ascii="Times New Roman" w:eastAsia="Times New Roman" w:hAnsi="Times New Roman" w:cs="Times New Roman"/>
          <w:i/>
          <w:lang w:val="en-GB"/>
        </w:rPr>
        <w:t>.</w:t>
      </w:r>
      <w:r w:rsidRPr="007F78BA">
        <w:rPr>
          <w:rFonts w:ascii="Times New Roman" w:eastAsia="Times New Roman" w:hAnsi="Times New Roman" w:cs="Times New Roman"/>
          <w:lang w:val="en-GB"/>
        </w:rPr>
        <w:t xml:space="preserve"> </w:t>
      </w:r>
      <w:r w:rsidR="003E7672">
        <w:rPr>
          <w:rFonts w:ascii="Times New Roman" w:eastAsia="Times New Roman" w:hAnsi="Times New Roman" w:cs="Times New Roman"/>
          <w:lang w:val="en-GB"/>
        </w:rPr>
        <w:t>We used two measures to</w:t>
      </w:r>
      <w:r w:rsidRPr="007F78BA">
        <w:rPr>
          <w:rFonts w:ascii="Times New Roman" w:eastAsia="Times New Roman" w:hAnsi="Times New Roman" w:cs="Times New Roman"/>
          <w:lang w:val="en-GB"/>
        </w:rPr>
        <w:t xml:space="preserve"> construct the HIV/</w:t>
      </w:r>
      <w:proofErr w:type="spellStart"/>
      <w:r w:rsidRPr="007F78BA">
        <w:rPr>
          <w:rFonts w:ascii="Times New Roman" w:eastAsia="Times New Roman" w:hAnsi="Times New Roman" w:cs="Times New Roman"/>
          <w:lang w:val="en-GB"/>
        </w:rPr>
        <w:t>PrEP</w:t>
      </w:r>
      <w:proofErr w:type="spellEnd"/>
      <w:r w:rsidRPr="007F78BA">
        <w:rPr>
          <w:rFonts w:ascii="Times New Roman" w:eastAsia="Times New Roman" w:hAnsi="Times New Roman" w:cs="Times New Roman"/>
          <w:lang w:val="en-GB"/>
        </w:rPr>
        <w:t xml:space="preserve"> knowledge latent variable: HIV knowledge and </w:t>
      </w:r>
      <w:proofErr w:type="spellStart"/>
      <w:r w:rsidRPr="007F78BA">
        <w:rPr>
          <w:rFonts w:ascii="Times New Roman" w:eastAsia="Times New Roman" w:hAnsi="Times New Roman" w:cs="Times New Roman"/>
          <w:lang w:val="en-GB"/>
        </w:rPr>
        <w:t>PrEP</w:t>
      </w:r>
      <w:proofErr w:type="spellEnd"/>
      <w:r w:rsidRPr="007F78BA">
        <w:rPr>
          <w:rFonts w:ascii="Times New Roman" w:eastAsia="Times New Roman" w:hAnsi="Times New Roman" w:cs="Times New Roman"/>
          <w:lang w:val="en-GB"/>
        </w:rPr>
        <w:t xml:space="preserve"> knowledge. HIV knowledge was constructed from seven items, assessed with a 5-point knowledge response set, with possible answers including </w:t>
      </w:r>
      <w:r w:rsidRPr="007F78BA">
        <w:rPr>
          <w:rFonts w:ascii="Times New Roman" w:eastAsia="Times New Roman" w:hAnsi="Times New Roman" w:cs="Times New Roman"/>
          <w:lang w:val="en-GB"/>
        </w:rPr>
        <w:lastRenderedPageBreak/>
        <w:t>“I do not believe this”, “I wasn’t sure about this”, and “I knew this already”. These items were “AIDS is caused by a virus called HIV”; “</w:t>
      </w:r>
      <w:r w:rsidR="0067101D">
        <w:rPr>
          <w:rFonts w:ascii="Times New Roman" w:eastAsia="Times New Roman" w:hAnsi="Times New Roman" w:cs="Times New Roman"/>
          <w:lang w:val="en-GB"/>
        </w:rPr>
        <w:t>I</w:t>
      </w:r>
      <w:r w:rsidRPr="007F78BA">
        <w:rPr>
          <w:rFonts w:ascii="Times New Roman" w:eastAsia="Times New Roman" w:hAnsi="Times New Roman" w:cs="Times New Roman"/>
          <w:lang w:val="en-GB"/>
        </w:rPr>
        <w:t>f someone becomes infected with HIV it may take several weeks before it can be detected in a test”; “</w:t>
      </w:r>
      <w:r w:rsidR="0067101D">
        <w:rPr>
          <w:rFonts w:ascii="Times New Roman" w:eastAsia="Times New Roman" w:hAnsi="Times New Roman" w:cs="Times New Roman"/>
          <w:lang w:val="en-GB"/>
        </w:rPr>
        <w:t>Y</w:t>
      </w:r>
      <w:r w:rsidRPr="007F78BA">
        <w:rPr>
          <w:rFonts w:ascii="Times New Roman" w:eastAsia="Times New Roman" w:hAnsi="Times New Roman" w:cs="Times New Roman"/>
          <w:lang w:val="en-GB"/>
        </w:rPr>
        <w:t>ou cannot be confident about whether someone has HIV or not from their appearance”; “</w:t>
      </w:r>
      <w:r w:rsidR="0067101D">
        <w:rPr>
          <w:rFonts w:ascii="Times New Roman" w:eastAsia="Times New Roman" w:hAnsi="Times New Roman" w:cs="Times New Roman"/>
          <w:lang w:val="en-GB"/>
        </w:rPr>
        <w:t>T</w:t>
      </w:r>
      <w:r w:rsidRPr="007F78BA">
        <w:rPr>
          <w:rFonts w:ascii="Times New Roman" w:eastAsia="Times New Roman" w:hAnsi="Times New Roman" w:cs="Times New Roman"/>
          <w:lang w:val="en-GB"/>
        </w:rPr>
        <w:t>here is a medical test that can show whether or not you have HIV”; “There is currently no cure for HIV infection”; “HIV infection can be controlled with medicines so that its impact on health is much less”; “</w:t>
      </w:r>
      <w:r w:rsidR="009A3117">
        <w:rPr>
          <w:rFonts w:ascii="Times New Roman" w:eastAsia="Times New Roman" w:hAnsi="Times New Roman" w:cs="Times New Roman"/>
          <w:lang w:val="en-GB"/>
        </w:rPr>
        <w:t>A</w:t>
      </w:r>
      <w:r w:rsidR="009A3117" w:rsidRPr="007F78BA">
        <w:rPr>
          <w:rFonts w:ascii="Times New Roman" w:eastAsia="Times New Roman" w:hAnsi="Times New Roman" w:cs="Times New Roman"/>
          <w:lang w:val="en-GB"/>
        </w:rPr>
        <w:t xml:space="preserve"> </w:t>
      </w:r>
      <w:r w:rsidRPr="007F78BA">
        <w:rPr>
          <w:rFonts w:ascii="Times New Roman" w:eastAsia="Times New Roman" w:hAnsi="Times New Roman" w:cs="Times New Roman"/>
          <w:lang w:val="en-GB"/>
        </w:rPr>
        <w:t xml:space="preserve">person with HIV who is on effective treatment (called ‘undetectable viral load’) cannot pass their virus to someone else during sex.” </w:t>
      </w:r>
      <w:proofErr w:type="spellStart"/>
      <w:r w:rsidRPr="007F78BA">
        <w:rPr>
          <w:rFonts w:ascii="Times New Roman" w:eastAsia="Times New Roman" w:hAnsi="Times New Roman" w:cs="Times New Roman"/>
          <w:lang w:val="en-GB"/>
        </w:rPr>
        <w:t>PrEP</w:t>
      </w:r>
      <w:proofErr w:type="spellEnd"/>
      <w:r w:rsidRPr="007F78BA">
        <w:rPr>
          <w:rFonts w:ascii="Times New Roman" w:eastAsia="Times New Roman" w:hAnsi="Times New Roman" w:cs="Times New Roman"/>
          <w:lang w:val="en-GB"/>
        </w:rPr>
        <w:t xml:space="preserve"> knowledge included three items assessed with the same response set: “Pre-Exposure Prophylaxis (</w:t>
      </w:r>
      <w:proofErr w:type="spellStart"/>
      <w:r w:rsidRPr="007F78BA">
        <w:rPr>
          <w:rFonts w:ascii="Times New Roman" w:eastAsia="Times New Roman" w:hAnsi="Times New Roman" w:cs="Times New Roman"/>
          <w:lang w:val="en-GB"/>
        </w:rPr>
        <w:t>PrEP</w:t>
      </w:r>
      <w:proofErr w:type="spellEnd"/>
      <w:r w:rsidRPr="007F78BA">
        <w:rPr>
          <w:rFonts w:ascii="Times New Roman" w:eastAsia="Times New Roman" w:hAnsi="Times New Roman" w:cs="Times New Roman"/>
          <w:lang w:val="en-GB"/>
        </w:rPr>
        <w:t>) involves someone who does not have HIV taking pills before as well as after sex to prevent them getting HIV”; “</w:t>
      </w:r>
      <w:proofErr w:type="spellStart"/>
      <w:r w:rsidRPr="007F78BA">
        <w:rPr>
          <w:rFonts w:ascii="Times New Roman" w:eastAsia="Times New Roman" w:hAnsi="Times New Roman" w:cs="Times New Roman"/>
          <w:lang w:val="en-GB"/>
        </w:rPr>
        <w:t>PrEP</w:t>
      </w:r>
      <w:proofErr w:type="spellEnd"/>
      <w:r w:rsidRPr="007F78BA">
        <w:rPr>
          <w:rFonts w:ascii="Times New Roman" w:eastAsia="Times New Roman" w:hAnsi="Times New Roman" w:cs="Times New Roman"/>
          <w:lang w:val="en-GB"/>
        </w:rPr>
        <w:t xml:space="preserve"> can be taken as a single daily pill if someone does not know in advance when they will have sex”; “If someone knows in advance when they will have sex, </w:t>
      </w:r>
      <w:proofErr w:type="spellStart"/>
      <w:r w:rsidRPr="007F78BA">
        <w:rPr>
          <w:rFonts w:ascii="Times New Roman" w:eastAsia="Times New Roman" w:hAnsi="Times New Roman" w:cs="Times New Roman"/>
          <w:lang w:val="en-GB"/>
        </w:rPr>
        <w:t>PrEP</w:t>
      </w:r>
      <w:proofErr w:type="spellEnd"/>
      <w:r w:rsidRPr="007F78BA">
        <w:rPr>
          <w:rFonts w:ascii="Times New Roman" w:eastAsia="Times New Roman" w:hAnsi="Times New Roman" w:cs="Times New Roman"/>
          <w:lang w:val="en-GB"/>
        </w:rPr>
        <w:t xml:space="preserve"> needs to be taken as a double dose approximately 24 hours before sex and then at both 24 and 48 hours after the double dose.” Each of these 10 items were recoded into a dummy variable, with value 1 indicating “I knew this already,” and value 0 indicating all the other answers. Then, we created an additive scale with these 10 items</w:t>
      </w:r>
      <w:r w:rsidR="009A3117">
        <w:rPr>
          <w:rFonts w:ascii="Times New Roman" w:eastAsia="Times New Roman" w:hAnsi="Times New Roman" w:cs="Times New Roman"/>
          <w:lang w:val="en-GB"/>
        </w:rPr>
        <w:t>.</w:t>
      </w:r>
      <w:r w:rsidRPr="007F78BA">
        <w:rPr>
          <w:rFonts w:ascii="Times New Roman" w:eastAsia="Times New Roman" w:hAnsi="Times New Roman" w:cs="Times New Roman"/>
          <w:lang w:val="en-GB"/>
        </w:rPr>
        <w:t xml:space="preserve"> With each factual knowledge (I knew this already)</w:t>
      </w:r>
      <w:r w:rsidR="009A3117">
        <w:rPr>
          <w:rFonts w:ascii="Times New Roman" w:eastAsia="Times New Roman" w:hAnsi="Times New Roman" w:cs="Times New Roman"/>
          <w:lang w:val="en-GB"/>
        </w:rPr>
        <w:t>,</w:t>
      </w:r>
      <w:r w:rsidRPr="007F78BA">
        <w:rPr>
          <w:rFonts w:ascii="Times New Roman" w:eastAsia="Times New Roman" w:hAnsi="Times New Roman" w:cs="Times New Roman"/>
          <w:lang w:val="en-GB"/>
        </w:rPr>
        <w:t xml:space="preserve"> respondents scored one point </w:t>
      </w:r>
      <w:r w:rsidR="009A3117">
        <w:rPr>
          <w:rFonts w:ascii="Times New Roman" w:eastAsia="Times New Roman" w:hAnsi="Times New Roman" w:cs="Times New Roman"/>
          <w:lang w:val="en-GB"/>
        </w:rPr>
        <w:t>o</w:t>
      </w:r>
      <w:r w:rsidRPr="007F78BA">
        <w:rPr>
          <w:rFonts w:ascii="Times New Roman" w:eastAsia="Times New Roman" w:hAnsi="Times New Roman" w:cs="Times New Roman"/>
          <w:lang w:val="en-GB"/>
        </w:rPr>
        <w:t>n the additive scale</w:t>
      </w:r>
      <w:r w:rsidR="009A3117">
        <w:rPr>
          <w:rFonts w:ascii="Times New Roman" w:eastAsia="Times New Roman" w:hAnsi="Times New Roman" w:cs="Times New Roman"/>
          <w:lang w:val="en-GB"/>
        </w:rPr>
        <w:t xml:space="preserve">, thus the score </w:t>
      </w:r>
      <w:r w:rsidR="009A3117" w:rsidRPr="007F78BA">
        <w:rPr>
          <w:rFonts w:ascii="Times New Roman" w:eastAsia="Times New Roman" w:hAnsi="Times New Roman" w:cs="Times New Roman"/>
          <w:lang w:val="en-GB"/>
        </w:rPr>
        <w:t>rang</w:t>
      </w:r>
      <w:r w:rsidR="009A3117">
        <w:rPr>
          <w:rFonts w:ascii="Times New Roman" w:eastAsia="Times New Roman" w:hAnsi="Times New Roman" w:cs="Times New Roman"/>
          <w:lang w:val="en-GB"/>
        </w:rPr>
        <w:t>ed</w:t>
      </w:r>
      <w:r w:rsidR="009A3117" w:rsidRPr="007F78BA">
        <w:rPr>
          <w:rFonts w:ascii="Times New Roman" w:eastAsia="Times New Roman" w:hAnsi="Times New Roman" w:cs="Times New Roman"/>
          <w:lang w:val="en-GB"/>
        </w:rPr>
        <w:t xml:space="preserve"> from 0 to 10</w:t>
      </w:r>
      <w:r w:rsidRPr="007F78BA">
        <w:rPr>
          <w:rFonts w:ascii="Times New Roman" w:eastAsia="Times New Roman" w:hAnsi="Times New Roman" w:cs="Times New Roman"/>
          <w:lang w:val="en-GB"/>
        </w:rPr>
        <w:t>.</w:t>
      </w:r>
    </w:p>
    <w:p w14:paraId="47266785" w14:textId="44F24300" w:rsidR="003C79B2" w:rsidRPr="007F78BA" w:rsidRDefault="003C79B2" w:rsidP="003C79B2">
      <w:pPr>
        <w:spacing w:line="276" w:lineRule="auto"/>
        <w:ind w:firstLine="720"/>
        <w:jc w:val="both"/>
        <w:rPr>
          <w:rFonts w:ascii="Times New Roman" w:eastAsia="Times New Roman" w:hAnsi="Times New Roman" w:cs="Times New Roman"/>
          <w:lang w:val="en-GB"/>
        </w:rPr>
      </w:pPr>
      <w:r w:rsidRPr="007F78BA">
        <w:rPr>
          <w:rFonts w:ascii="Times New Roman" w:eastAsia="Times New Roman" w:hAnsi="Times New Roman" w:cs="Times New Roman"/>
          <w:i/>
          <w:lang w:val="en-GB"/>
        </w:rPr>
        <w:t>Substance Use</w:t>
      </w:r>
      <w:r w:rsidR="009A3117">
        <w:rPr>
          <w:rFonts w:ascii="Times New Roman" w:eastAsia="Times New Roman" w:hAnsi="Times New Roman" w:cs="Times New Roman"/>
          <w:i/>
          <w:lang w:val="en-GB"/>
        </w:rPr>
        <w:t>.</w:t>
      </w:r>
      <w:r w:rsidRPr="007F78BA">
        <w:rPr>
          <w:rFonts w:ascii="Times New Roman" w:eastAsia="Times New Roman" w:hAnsi="Times New Roman" w:cs="Times New Roman"/>
          <w:lang w:val="en-GB"/>
        </w:rPr>
        <w:t xml:space="preserve"> We used six observed variables for the substance use latent variable, based on how long-ago respondents used substances in any context. The six substances (see table 1) were assessed with an 8-point recency scale, ranging from (1) “never” to (8) “in the past 24 hours” (after inverting the original scale).</w:t>
      </w:r>
    </w:p>
    <w:p w14:paraId="275E460A" w14:textId="76F9E2D0" w:rsidR="003C79B2" w:rsidRPr="007F78BA" w:rsidRDefault="003C79B2" w:rsidP="003C79B2">
      <w:pPr>
        <w:spacing w:line="276" w:lineRule="auto"/>
        <w:ind w:firstLine="720"/>
        <w:jc w:val="both"/>
        <w:rPr>
          <w:rFonts w:ascii="Times New Roman" w:eastAsia="Times New Roman" w:hAnsi="Times New Roman" w:cs="Times New Roman"/>
          <w:lang w:val="en-GB"/>
        </w:rPr>
      </w:pPr>
      <w:r w:rsidRPr="007F78BA">
        <w:rPr>
          <w:rFonts w:ascii="Times New Roman" w:eastAsia="Times New Roman" w:hAnsi="Times New Roman" w:cs="Times New Roman"/>
          <w:i/>
          <w:lang w:val="en-GB"/>
        </w:rPr>
        <w:t>Se</w:t>
      </w:r>
      <w:r w:rsidR="00E93EC1">
        <w:rPr>
          <w:rFonts w:ascii="Times New Roman" w:eastAsia="Times New Roman" w:hAnsi="Times New Roman" w:cs="Times New Roman"/>
          <w:i/>
          <w:lang w:val="en-GB"/>
        </w:rPr>
        <w:t>x Under the Influence of Substances</w:t>
      </w:r>
      <w:r w:rsidR="009C1EB6">
        <w:rPr>
          <w:rFonts w:ascii="Times New Roman" w:eastAsia="Times New Roman" w:hAnsi="Times New Roman" w:cs="Times New Roman"/>
          <w:i/>
          <w:lang w:val="en-GB"/>
        </w:rPr>
        <w:t xml:space="preserve"> (SUIS)</w:t>
      </w:r>
      <w:r w:rsidR="00A3264C">
        <w:rPr>
          <w:rFonts w:ascii="Times New Roman" w:eastAsia="Times New Roman" w:hAnsi="Times New Roman" w:cs="Times New Roman"/>
          <w:i/>
          <w:lang w:val="en-GB"/>
        </w:rPr>
        <w:t>.</w:t>
      </w:r>
      <w:r w:rsidRPr="007F78BA">
        <w:rPr>
          <w:rFonts w:ascii="Times New Roman" w:eastAsia="Times New Roman" w:hAnsi="Times New Roman" w:cs="Times New Roman"/>
          <w:lang w:val="en-GB"/>
        </w:rPr>
        <w:t xml:space="preserve"> </w:t>
      </w:r>
      <w:r w:rsidR="00A3264C">
        <w:rPr>
          <w:rFonts w:ascii="Times New Roman" w:eastAsia="Times New Roman" w:hAnsi="Times New Roman" w:cs="Times New Roman"/>
          <w:lang w:val="en-GB"/>
        </w:rPr>
        <w:t>T</w:t>
      </w:r>
      <w:r w:rsidRPr="007F78BA">
        <w:rPr>
          <w:rFonts w:ascii="Times New Roman" w:eastAsia="Times New Roman" w:hAnsi="Times New Roman" w:cs="Times New Roman"/>
          <w:lang w:val="en-GB"/>
        </w:rPr>
        <w:t>he respondents were asked, “</w:t>
      </w:r>
      <w:r w:rsidR="00A3264C">
        <w:rPr>
          <w:rFonts w:ascii="Times New Roman" w:eastAsia="Times New Roman" w:hAnsi="Times New Roman" w:cs="Times New Roman"/>
          <w:lang w:val="en-GB"/>
        </w:rPr>
        <w:t>I</w:t>
      </w:r>
      <w:r w:rsidRPr="007F78BA">
        <w:rPr>
          <w:rFonts w:ascii="Times New Roman" w:eastAsia="Times New Roman" w:hAnsi="Times New Roman" w:cs="Times New Roman"/>
          <w:lang w:val="en-GB"/>
        </w:rPr>
        <w:t xml:space="preserve">n the last 12 months, how much of the sex you’ve had with men has been under the influence of alcohol or any other drug?” The possible answers for this question ranged from (1) “none of it” to (7) “all of it”. </w:t>
      </w:r>
    </w:p>
    <w:p w14:paraId="3BE486FE" w14:textId="77777777" w:rsidR="003C79B2" w:rsidRPr="007F78BA" w:rsidRDefault="003C79B2" w:rsidP="003C79B2">
      <w:pPr>
        <w:rPr>
          <w:lang w:val="en-GB"/>
        </w:rPr>
      </w:pPr>
    </w:p>
    <w:p w14:paraId="6422AAC9" w14:textId="1E3CBDE2" w:rsidR="00FD34CB" w:rsidRPr="007F78BA" w:rsidRDefault="00FD34CB" w:rsidP="00FD34CB">
      <w:pPr>
        <w:pStyle w:val="Overskrift2"/>
        <w:rPr>
          <w:lang w:val="en-GB"/>
        </w:rPr>
      </w:pPr>
      <w:r w:rsidRPr="007F78BA">
        <w:rPr>
          <w:lang w:val="en-GB"/>
        </w:rPr>
        <w:t>Methods</w:t>
      </w:r>
    </w:p>
    <w:p w14:paraId="4E5BC9E2" w14:textId="775C5D66" w:rsidR="009C1EB6" w:rsidRDefault="006C7BCD" w:rsidP="00AC789C">
      <w:pPr>
        <w:spacing w:line="276" w:lineRule="auto"/>
        <w:ind w:firstLine="720"/>
        <w:jc w:val="both"/>
        <w:rPr>
          <w:rFonts w:ascii="Times New Roman" w:eastAsia="Times New Roman" w:hAnsi="Times New Roman" w:cs="Times New Roman"/>
          <w:lang w:val="en-GB"/>
        </w:rPr>
      </w:pPr>
      <w:r w:rsidRPr="006C7BCD">
        <w:rPr>
          <w:rFonts w:ascii="Times New Roman" w:eastAsia="Times New Roman" w:hAnsi="Times New Roman" w:cs="Times New Roman"/>
          <w:lang w:val="en-GB"/>
        </w:rPr>
        <w:t>We use RStudio and the ‘</w:t>
      </w:r>
      <w:proofErr w:type="spellStart"/>
      <w:r w:rsidRPr="006C7BCD">
        <w:rPr>
          <w:rFonts w:ascii="Times New Roman" w:eastAsia="Times New Roman" w:hAnsi="Times New Roman" w:cs="Times New Roman"/>
          <w:lang w:val="en-GB"/>
        </w:rPr>
        <w:t>lavaan</w:t>
      </w:r>
      <w:proofErr w:type="spellEnd"/>
      <w:r w:rsidRPr="006C7BCD">
        <w:rPr>
          <w:rFonts w:ascii="Times New Roman" w:eastAsia="Times New Roman" w:hAnsi="Times New Roman" w:cs="Times New Roman"/>
          <w:lang w:val="en-GB"/>
        </w:rPr>
        <w:t xml:space="preserve">’ package </w:t>
      </w:r>
      <w:r w:rsidRPr="006C7BCD">
        <w:rPr>
          <w:rFonts w:ascii="Times New Roman" w:eastAsia="Times New Roman" w:hAnsi="Times New Roman" w:cs="Times New Roman"/>
          <w:lang w:val="en-GB"/>
        </w:rPr>
        <w:fldChar w:fldCharType="begin"/>
      </w:r>
      <w:r w:rsidRPr="006C7BCD">
        <w:rPr>
          <w:rFonts w:ascii="Times New Roman" w:eastAsia="Times New Roman" w:hAnsi="Times New Roman" w:cs="Times New Roman"/>
          <w:lang w:val="en-GB"/>
        </w:rPr>
        <w:instrText xml:space="preserve"> ADDIN ZOTERO_ITEM CSL_CITATION {"citationID":"cDDEpMdh","properties":{"formattedCitation":"(Rosseel, 2012)","plainCitation":"(Rosseel, 2012)","noteIndex":0},"citationItems":[{"id":521,"uris":["http://zotero.org/users/5061103/items/NPRR4HCN"],"uri":["http://zotero.org/users/5061103/items/NPRR4HCN"],"itemData":{"id":521,"type":"article-journal","container-title":"Journal of Statistical Software","issue":"2","page":"1-36","title":"lavaan: An R Package for Structural Equation Modeling","volume":"48","author":[{"family":"Rosseel","given":"Yves"}],"issued":{"date-parts":[["2012"]]}}}],"schema":"https://github.com/citation-style-language/schema/raw/master/csl-citation.json"} </w:instrText>
      </w:r>
      <w:r w:rsidRPr="006C7BCD">
        <w:rPr>
          <w:rFonts w:ascii="Times New Roman" w:eastAsia="Times New Roman" w:hAnsi="Times New Roman" w:cs="Times New Roman"/>
          <w:lang w:val="en-GB"/>
        </w:rPr>
        <w:fldChar w:fldCharType="separate"/>
      </w:r>
      <w:r w:rsidRPr="006C7BCD">
        <w:rPr>
          <w:rFonts w:ascii="Times New Roman" w:eastAsia="Times New Roman" w:hAnsi="Times New Roman" w:cs="Times New Roman"/>
          <w:lang w:val="en-GB"/>
        </w:rPr>
        <w:t>(</w:t>
      </w:r>
      <w:proofErr w:type="spellStart"/>
      <w:r w:rsidRPr="006C7BCD">
        <w:rPr>
          <w:rFonts w:ascii="Times New Roman" w:eastAsia="Times New Roman" w:hAnsi="Times New Roman" w:cs="Times New Roman"/>
          <w:lang w:val="en-GB"/>
        </w:rPr>
        <w:t>Rosseel</w:t>
      </w:r>
      <w:proofErr w:type="spellEnd"/>
      <w:r w:rsidRPr="006C7BCD">
        <w:rPr>
          <w:rFonts w:ascii="Times New Roman" w:eastAsia="Times New Roman" w:hAnsi="Times New Roman" w:cs="Times New Roman"/>
          <w:lang w:val="en-GB"/>
        </w:rPr>
        <w:t>, 2012)</w:t>
      </w:r>
      <w:r w:rsidRPr="006C7BCD">
        <w:rPr>
          <w:rFonts w:ascii="Times New Roman" w:eastAsia="Times New Roman" w:hAnsi="Times New Roman" w:cs="Times New Roman"/>
          <w:lang w:val="en-GB"/>
        </w:rPr>
        <w:fldChar w:fldCharType="end"/>
      </w:r>
      <w:r w:rsidRPr="006C7BCD">
        <w:rPr>
          <w:rFonts w:ascii="Times New Roman" w:eastAsia="Times New Roman" w:hAnsi="Times New Roman" w:cs="Times New Roman"/>
          <w:lang w:val="en-GB"/>
        </w:rPr>
        <w:t xml:space="preserve"> to </w:t>
      </w:r>
      <w:r w:rsidR="00621B98">
        <w:rPr>
          <w:rFonts w:ascii="Times New Roman" w:eastAsia="Times New Roman" w:hAnsi="Times New Roman" w:cs="Times New Roman"/>
          <w:lang w:val="en-GB"/>
        </w:rPr>
        <w:t>run our</w:t>
      </w:r>
      <w:r w:rsidRPr="006C7BCD">
        <w:rPr>
          <w:rFonts w:ascii="Times New Roman" w:eastAsia="Times New Roman" w:hAnsi="Times New Roman" w:cs="Times New Roman"/>
          <w:lang w:val="en-GB"/>
        </w:rPr>
        <w:t xml:space="preserve"> structural equation model. Prior to the analysis, the data was checked for multicollinearity, missing data, departures from normality and distributions. Multicollinearity was not present. Missing data were handled with pairwise deletion</w:t>
      </w:r>
      <w:r>
        <w:rPr>
          <w:rFonts w:ascii="Times New Roman" w:eastAsia="Times New Roman" w:hAnsi="Times New Roman" w:cs="Times New Roman"/>
          <w:lang w:val="en-GB"/>
        </w:rPr>
        <w:t xml:space="preserve"> </w:t>
      </w:r>
      <w:r w:rsidR="00AC789C">
        <w:rPr>
          <w:rFonts w:ascii="Times New Roman" w:eastAsia="Times New Roman" w:hAnsi="Times New Roman" w:cs="Times New Roman"/>
          <w:lang w:val="en-GB"/>
        </w:rPr>
        <w:t xml:space="preserve">and after this step, our </w:t>
      </w:r>
      <w:r w:rsidR="00AC789C" w:rsidRPr="007F78BA">
        <w:rPr>
          <w:rFonts w:ascii="Times New Roman" w:eastAsia="Times New Roman" w:hAnsi="Times New Roman" w:cs="Times New Roman"/>
          <w:lang w:val="en-GB"/>
        </w:rPr>
        <w:t>sample consist</w:t>
      </w:r>
      <w:r w:rsidR="00AC789C">
        <w:rPr>
          <w:rFonts w:ascii="Times New Roman" w:eastAsia="Times New Roman" w:hAnsi="Times New Roman" w:cs="Times New Roman"/>
          <w:lang w:val="en-GB"/>
        </w:rPr>
        <w:t>ed</w:t>
      </w:r>
      <w:r w:rsidR="00AC789C" w:rsidRPr="007F78BA">
        <w:rPr>
          <w:rFonts w:ascii="Times New Roman" w:eastAsia="Times New Roman" w:hAnsi="Times New Roman" w:cs="Times New Roman"/>
          <w:lang w:val="en-GB"/>
        </w:rPr>
        <w:t xml:space="preserve"> of 3,</w:t>
      </w:r>
      <w:r w:rsidR="00AC789C">
        <w:rPr>
          <w:rFonts w:ascii="Times New Roman" w:eastAsia="Times New Roman" w:hAnsi="Times New Roman" w:cs="Times New Roman"/>
          <w:lang w:val="en-GB"/>
        </w:rPr>
        <w:t>694</w:t>
      </w:r>
      <w:r w:rsidR="00AC789C" w:rsidRPr="007F78BA">
        <w:rPr>
          <w:rFonts w:ascii="Times New Roman" w:eastAsia="Times New Roman" w:hAnsi="Times New Roman" w:cs="Times New Roman"/>
          <w:lang w:val="en-GB"/>
        </w:rPr>
        <w:t xml:space="preserve"> MSM in Spain and </w:t>
      </w:r>
      <w:r w:rsidR="00AC789C">
        <w:rPr>
          <w:rFonts w:ascii="Times New Roman" w:eastAsia="Times New Roman" w:hAnsi="Times New Roman" w:cs="Times New Roman"/>
          <w:lang w:val="en-GB"/>
        </w:rPr>
        <w:t>550</w:t>
      </w:r>
      <w:r w:rsidR="00AC789C" w:rsidRPr="007F78BA">
        <w:rPr>
          <w:rFonts w:ascii="Times New Roman" w:eastAsia="Times New Roman" w:hAnsi="Times New Roman" w:cs="Times New Roman"/>
          <w:lang w:val="en-GB"/>
        </w:rPr>
        <w:t xml:space="preserve"> MSM in Turkey.</w:t>
      </w:r>
      <w:r w:rsidR="00AC789C">
        <w:rPr>
          <w:rFonts w:ascii="Times New Roman" w:eastAsia="Times New Roman" w:hAnsi="Times New Roman" w:cs="Times New Roman"/>
          <w:lang w:val="en-GB"/>
        </w:rPr>
        <w:t xml:space="preserve"> </w:t>
      </w:r>
      <w:r w:rsidR="009842AB" w:rsidRPr="007F78BA">
        <w:rPr>
          <w:rFonts w:ascii="Times New Roman" w:eastAsia="Times New Roman" w:hAnsi="Times New Roman" w:cs="Times New Roman"/>
          <w:lang w:val="en-GB"/>
        </w:rPr>
        <w:t>For descriptive purposes, we</w:t>
      </w:r>
      <w:r w:rsidR="00BC00B5" w:rsidRPr="007F78BA">
        <w:rPr>
          <w:rFonts w:ascii="Times New Roman" w:eastAsia="Times New Roman" w:hAnsi="Times New Roman" w:cs="Times New Roman"/>
          <w:lang w:val="en-GB"/>
        </w:rPr>
        <w:t xml:space="preserve"> first</w:t>
      </w:r>
      <w:r w:rsidR="009842AB" w:rsidRPr="007F78BA">
        <w:rPr>
          <w:rFonts w:ascii="Times New Roman" w:eastAsia="Times New Roman" w:hAnsi="Times New Roman" w:cs="Times New Roman"/>
          <w:lang w:val="en-GB"/>
        </w:rPr>
        <w:t xml:space="preserve"> estimated the </w:t>
      </w:r>
      <w:r w:rsidR="00BC00B5" w:rsidRPr="007F78BA">
        <w:rPr>
          <w:rFonts w:ascii="Times New Roman" w:eastAsia="Times New Roman" w:hAnsi="Times New Roman" w:cs="Times New Roman"/>
          <w:lang w:val="en-GB"/>
        </w:rPr>
        <w:t>prevalence and means (if applicable) of all variables</w:t>
      </w:r>
      <w:r w:rsidR="00A3264C">
        <w:rPr>
          <w:rFonts w:ascii="Times New Roman" w:eastAsia="Times New Roman" w:hAnsi="Times New Roman" w:cs="Times New Roman"/>
          <w:lang w:val="en-GB"/>
        </w:rPr>
        <w:t>,</w:t>
      </w:r>
      <w:r w:rsidR="009842AB" w:rsidRPr="007F78BA">
        <w:rPr>
          <w:rFonts w:ascii="Times New Roman" w:eastAsia="Times New Roman" w:hAnsi="Times New Roman" w:cs="Times New Roman"/>
          <w:lang w:val="en-GB"/>
        </w:rPr>
        <w:t xml:space="preserve"> by</w:t>
      </w:r>
      <w:r w:rsidR="00BC00B5" w:rsidRPr="007F78BA">
        <w:rPr>
          <w:rFonts w:ascii="Times New Roman" w:eastAsia="Times New Roman" w:hAnsi="Times New Roman" w:cs="Times New Roman"/>
          <w:lang w:val="en-GB"/>
        </w:rPr>
        <w:t xml:space="preserve"> country</w:t>
      </w:r>
      <w:r w:rsidR="009842AB" w:rsidRPr="007F78BA">
        <w:rPr>
          <w:rFonts w:ascii="Times New Roman" w:eastAsia="Times New Roman" w:hAnsi="Times New Roman" w:cs="Times New Roman"/>
          <w:lang w:val="en-GB"/>
        </w:rPr>
        <w:t>. Comparisons of</w:t>
      </w:r>
      <w:r w:rsidR="00BC00B5" w:rsidRPr="007F78BA">
        <w:rPr>
          <w:rFonts w:ascii="Times New Roman" w:eastAsia="Times New Roman" w:hAnsi="Times New Roman" w:cs="Times New Roman"/>
          <w:lang w:val="en-GB"/>
        </w:rPr>
        <w:t xml:space="preserve"> variables</w:t>
      </w:r>
      <w:r w:rsidR="009842AB" w:rsidRPr="007F78BA">
        <w:rPr>
          <w:rFonts w:ascii="Times New Roman" w:eastAsia="Times New Roman" w:hAnsi="Times New Roman" w:cs="Times New Roman"/>
          <w:lang w:val="en-GB"/>
        </w:rPr>
        <w:t xml:space="preserve"> between each category were conducted using Rao-Scott chi-square.</w:t>
      </w:r>
      <w:r w:rsidR="00BC00B5" w:rsidRPr="007F78BA">
        <w:rPr>
          <w:rFonts w:ascii="Times New Roman" w:eastAsia="Times New Roman" w:hAnsi="Times New Roman" w:cs="Times New Roman"/>
          <w:lang w:val="en-GB"/>
        </w:rPr>
        <w:t xml:space="preserve"> </w:t>
      </w:r>
      <w:r w:rsidR="0092027D">
        <w:rPr>
          <w:rFonts w:ascii="Times New Roman" w:eastAsia="Times New Roman" w:hAnsi="Times New Roman" w:cs="Times New Roman"/>
          <w:lang w:val="en-GB"/>
        </w:rPr>
        <w:t xml:space="preserve">We </w:t>
      </w:r>
      <w:r w:rsidR="00703D3C">
        <w:rPr>
          <w:rFonts w:ascii="Times New Roman" w:eastAsia="Times New Roman" w:hAnsi="Times New Roman" w:cs="Times New Roman"/>
          <w:lang w:val="en-GB"/>
        </w:rPr>
        <w:t>used</w:t>
      </w:r>
      <w:r w:rsidR="0092027D">
        <w:rPr>
          <w:rFonts w:ascii="Times New Roman" w:eastAsia="Times New Roman" w:hAnsi="Times New Roman" w:cs="Times New Roman"/>
          <w:lang w:val="en-GB"/>
        </w:rPr>
        <w:t xml:space="preserve"> </w:t>
      </w:r>
      <w:r w:rsidR="0090258E" w:rsidRPr="007F78BA">
        <w:rPr>
          <w:rFonts w:ascii="Times New Roman" w:eastAsia="Times New Roman" w:hAnsi="Times New Roman" w:cs="Times New Roman"/>
          <w:lang w:val="en-GB"/>
        </w:rPr>
        <w:t>a multi-group structural equation modelling</w:t>
      </w:r>
      <w:r w:rsidR="0092027D">
        <w:rPr>
          <w:rFonts w:ascii="Times New Roman" w:eastAsia="Times New Roman" w:hAnsi="Times New Roman" w:cs="Times New Roman"/>
          <w:lang w:val="en-GB"/>
        </w:rPr>
        <w:t xml:space="preserve"> (MG-SEM) approach. </w:t>
      </w:r>
      <w:r w:rsidR="00703D3C">
        <w:rPr>
          <w:rFonts w:ascii="Times New Roman" w:eastAsia="Times New Roman" w:hAnsi="Times New Roman" w:cs="Times New Roman"/>
          <w:lang w:val="en-GB"/>
        </w:rPr>
        <w:t>It</w:t>
      </w:r>
      <w:r w:rsidR="003C1E0F" w:rsidRPr="007F78BA">
        <w:rPr>
          <w:rFonts w:ascii="Times New Roman" w:eastAsia="Times New Roman" w:hAnsi="Times New Roman" w:cs="Times New Roman"/>
          <w:lang w:val="en-GB"/>
        </w:rPr>
        <w:t xml:space="preserve"> is useful if the research sample involves more than one sample and the concern is to determine whether or not the components of the estimations are equivalent across groups </w:t>
      </w:r>
      <w:r w:rsidR="003C1E0F" w:rsidRPr="007F78BA">
        <w:rPr>
          <w:rFonts w:ascii="Times New Roman" w:eastAsia="Times New Roman" w:hAnsi="Times New Roman" w:cs="Times New Roman"/>
          <w:lang w:val="en-GB"/>
        </w:rPr>
        <w:fldChar w:fldCharType="begin"/>
      </w:r>
      <w:r w:rsidR="003C1E0F" w:rsidRPr="007F78BA">
        <w:rPr>
          <w:rFonts w:ascii="Times New Roman" w:eastAsia="Times New Roman" w:hAnsi="Times New Roman" w:cs="Times New Roman"/>
          <w:lang w:val="en-GB"/>
        </w:rPr>
        <w:instrText xml:space="preserve"> ADDIN ZOTERO_ITEM CSL_CITATION {"citationID":"kw2U5xY6","properties":{"formattedCitation":"(Byrne, 2016)","plainCitation":"(Byrne, 2016)","noteIndex":0},"citationItems":[{"id":1672,"uris":["http://zotero.org/users/5061103/items/TDRMDAWR"],"uri":["http://zotero.org/users/5061103/items/TDRMDAWR"],"itemData":{"id":1672,"type":"book","edition":"Third Edition (3rd ed.)","event-place":"New York","publisher":"Routledge","publisher-place":"New York","title":"Structural equation modeling with AMOS: basic concepts, applications, and programming","author":[{"family":"Byrne","given":"Barbara M."}],"issued":{"date-parts":[["2016"]]}}}],"schema":"https://github.com/citation-style-language/schema/raw/master/csl-citation.json"} </w:instrText>
      </w:r>
      <w:r w:rsidR="003C1E0F" w:rsidRPr="007F78BA">
        <w:rPr>
          <w:rFonts w:ascii="Times New Roman" w:eastAsia="Times New Roman" w:hAnsi="Times New Roman" w:cs="Times New Roman"/>
          <w:lang w:val="en-GB"/>
        </w:rPr>
        <w:fldChar w:fldCharType="separate"/>
      </w:r>
      <w:r w:rsidR="003C1E0F" w:rsidRPr="007F78BA">
        <w:rPr>
          <w:rFonts w:ascii="Times New Roman" w:eastAsia="Times New Roman" w:hAnsi="Times New Roman" w:cs="Times New Roman"/>
          <w:lang w:val="en-GB"/>
        </w:rPr>
        <w:t>(Byrne, 2016)</w:t>
      </w:r>
      <w:r w:rsidR="003C1E0F" w:rsidRPr="007F78BA">
        <w:rPr>
          <w:rFonts w:ascii="Times New Roman" w:eastAsia="Times New Roman" w:hAnsi="Times New Roman" w:cs="Times New Roman"/>
          <w:lang w:val="en-GB"/>
        </w:rPr>
        <w:fldChar w:fldCharType="end"/>
      </w:r>
      <w:r w:rsidR="003C1E0F" w:rsidRPr="007F78BA">
        <w:rPr>
          <w:rFonts w:ascii="Times New Roman" w:eastAsia="Times New Roman" w:hAnsi="Times New Roman" w:cs="Times New Roman"/>
          <w:lang w:val="en-GB"/>
        </w:rPr>
        <w:t xml:space="preserve">. </w:t>
      </w:r>
    </w:p>
    <w:p w14:paraId="15C84BB7" w14:textId="2D77F7BC" w:rsidR="00FD34CB" w:rsidRPr="007F78BA" w:rsidRDefault="003C1E0F" w:rsidP="00FD34CB">
      <w:pPr>
        <w:spacing w:line="276" w:lineRule="auto"/>
        <w:ind w:firstLine="720"/>
        <w:jc w:val="both"/>
        <w:rPr>
          <w:rFonts w:ascii="Times New Roman" w:eastAsia="Times New Roman" w:hAnsi="Times New Roman" w:cs="Times New Roman"/>
          <w:lang w:val="en-GB"/>
        </w:rPr>
      </w:pPr>
      <w:r w:rsidRPr="007F78BA">
        <w:rPr>
          <w:rFonts w:ascii="Times New Roman" w:eastAsia="Times New Roman" w:hAnsi="Times New Roman" w:cs="Times New Roman"/>
          <w:lang w:val="en-GB"/>
        </w:rPr>
        <w:t xml:space="preserve">We applied the two-step approach proposed by </w:t>
      </w:r>
      <w:r w:rsidRPr="007F78BA">
        <w:rPr>
          <w:rFonts w:ascii="Times New Roman" w:eastAsia="Times New Roman" w:hAnsi="Times New Roman" w:cs="Times New Roman"/>
          <w:lang w:val="en-GB"/>
        </w:rPr>
        <w:fldChar w:fldCharType="begin"/>
      </w:r>
      <w:r w:rsidR="00FA765C">
        <w:rPr>
          <w:rFonts w:ascii="Times New Roman" w:eastAsia="Times New Roman" w:hAnsi="Times New Roman" w:cs="Times New Roman"/>
          <w:lang w:val="en-GB"/>
        </w:rPr>
        <w:instrText xml:space="preserve"> ADDIN ZOTERO_ITEM CSL_CITATION {"citationID":"G4eRaPuv","properties":{"formattedCitation":"(Byrne, 2016)","plainCitation":"(Byrne, 2016)","dontUpdate":true,"noteIndex":0},"citationItems":[{"id":1672,"uris":["http://zotero.org/users/5061103/items/TDRMDAWR"],"uri":["http://zotero.org/users/5061103/items/TDRMDAWR"],"itemData":{"id":1672,"type":"book","edition":"Third Edition (3rd ed.)","event-place":"New York","publisher":"Routledge","publisher-place":"New York","title":"Structural equation modeling with AMOS: basic concepts, applications, and programming","author":[{"family":"Byrne","given":"Barbara M."}],"issued":{"date-parts":[["2016"]]}}}],"schema":"https://github.com/citation-style-language/schema/raw/master/csl-citation.json"} </w:instrText>
      </w:r>
      <w:r w:rsidRPr="007F78BA">
        <w:rPr>
          <w:rFonts w:ascii="Times New Roman" w:eastAsia="Times New Roman" w:hAnsi="Times New Roman" w:cs="Times New Roman"/>
          <w:lang w:val="en-GB"/>
        </w:rPr>
        <w:fldChar w:fldCharType="separate"/>
      </w:r>
      <w:r w:rsidRPr="007F78BA">
        <w:rPr>
          <w:rFonts w:ascii="Times New Roman" w:eastAsia="Times New Roman" w:hAnsi="Times New Roman" w:cs="Times New Roman"/>
          <w:lang w:val="en-GB"/>
        </w:rPr>
        <w:t>Byrne (2016)</w:t>
      </w:r>
      <w:r w:rsidRPr="007F78BA">
        <w:rPr>
          <w:rFonts w:ascii="Times New Roman" w:eastAsia="Times New Roman" w:hAnsi="Times New Roman" w:cs="Times New Roman"/>
          <w:lang w:val="en-GB"/>
        </w:rPr>
        <w:fldChar w:fldCharType="end"/>
      </w:r>
      <w:r w:rsidR="00A3264C">
        <w:rPr>
          <w:rFonts w:ascii="Times New Roman" w:eastAsia="Times New Roman" w:hAnsi="Times New Roman" w:cs="Times New Roman"/>
          <w:lang w:val="en-GB"/>
        </w:rPr>
        <w:t>,</w:t>
      </w:r>
      <w:r w:rsidRPr="007F78BA">
        <w:rPr>
          <w:rFonts w:ascii="Times New Roman" w:eastAsia="Times New Roman" w:hAnsi="Times New Roman" w:cs="Times New Roman"/>
          <w:lang w:val="en-GB"/>
        </w:rPr>
        <w:t xml:space="preserve"> </w:t>
      </w:r>
      <w:r w:rsidR="00A3264C">
        <w:rPr>
          <w:rFonts w:ascii="Times New Roman" w:eastAsia="Times New Roman" w:hAnsi="Times New Roman" w:cs="Times New Roman"/>
          <w:lang w:val="en-GB"/>
        </w:rPr>
        <w:t xml:space="preserve">whereby we </w:t>
      </w:r>
      <w:r w:rsidRPr="007F78BA">
        <w:rPr>
          <w:rFonts w:ascii="Times New Roman" w:eastAsia="Times New Roman" w:hAnsi="Times New Roman" w:cs="Times New Roman"/>
          <w:lang w:val="en-GB"/>
        </w:rPr>
        <w:t>first</w:t>
      </w:r>
      <w:r w:rsidR="00A3264C">
        <w:rPr>
          <w:rFonts w:ascii="Times New Roman" w:eastAsia="Times New Roman" w:hAnsi="Times New Roman" w:cs="Times New Roman"/>
          <w:lang w:val="en-GB"/>
        </w:rPr>
        <w:t xml:space="preserve"> es</w:t>
      </w:r>
      <w:r w:rsidRPr="007F78BA">
        <w:rPr>
          <w:rFonts w:ascii="Times New Roman" w:eastAsia="Times New Roman" w:hAnsi="Times New Roman" w:cs="Times New Roman"/>
          <w:lang w:val="en-GB"/>
        </w:rPr>
        <w:t xml:space="preserve">tablished invariance of </w:t>
      </w:r>
      <w:r w:rsidR="009C1EB6">
        <w:rPr>
          <w:rFonts w:ascii="Times New Roman" w:eastAsia="Times New Roman" w:hAnsi="Times New Roman" w:cs="Times New Roman"/>
          <w:lang w:val="en-GB"/>
        </w:rPr>
        <w:t xml:space="preserve">the </w:t>
      </w:r>
      <w:r w:rsidRPr="007F78BA">
        <w:rPr>
          <w:rFonts w:ascii="Times New Roman" w:eastAsia="Times New Roman" w:hAnsi="Times New Roman" w:cs="Times New Roman"/>
          <w:lang w:val="en-GB"/>
        </w:rPr>
        <w:t>measurement model’s groups</w:t>
      </w:r>
      <w:r w:rsidR="00A3264C">
        <w:rPr>
          <w:rFonts w:ascii="Times New Roman" w:eastAsia="Times New Roman" w:hAnsi="Times New Roman" w:cs="Times New Roman"/>
          <w:lang w:val="en-GB"/>
        </w:rPr>
        <w:t>,</w:t>
      </w:r>
      <w:r w:rsidRPr="007F78BA">
        <w:rPr>
          <w:rFonts w:ascii="Times New Roman" w:eastAsia="Times New Roman" w:hAnsi="Times New Roman" w:cs="Times New Roman"/>
          <w:lang w:val="en-GB"/>
        </w:rPr>
        <w:t xml:space="preserve"> and </w:t>
      </w:r>
      <w:r w:rsidR="009C1EB6">
        <w:rPr>
          <w:rFonts w:ascii="Times New Roman" w:eastAsia="Times New Roman" w:hAnsi="Times New Roman" w:cs="Times New Roman"/>
          <w:lang w:val="en-GB"/>
        </w:rPr>
        <w:t>then</w:t>
      </w:r>
      <w:r w:rsidRPr="007F78BA">
        <w:rPr>
          <w:rFonts w:ascii="Times New Roman" w:eastAsia="Times New Roman" w:hAnsi="Times New Roman" w:cs="Times New Roman"/>
          <w:lang w:val="en-GB"/>
        </w:rPr>
        <w:t xml:space="preserve"> of the structural model (for a similar example, see </w:t>
      </w:r>
      <w:r w:rsidRPr="007F78BA">
        <w:rPr>
          <w:rFonts w:ascii="Times New Roman" w:eastAsia="Times New Roman" w:hAnsi="Times New Roman" w:cs="Times New Roman"/>
          <w:lang w:val="en-GB"/>
        </w:rPr>
        <w:fldChar w:fldCharType="begin"/>
      </w:r>
      <w:r w:rsidR="00FA765C">
        <w:rPr>
          <w:rFonts w:ascii="Times New Roman" w:eastAsia="Times New Roman" w:hAnsi="Times New Roman" w:cs="Times New Roman"/>
          <w:lang w:val="en-GB"/>
        </w:rPr>
        <w:instrText xml:space="preserve"> ADDIN ZOTERO_ITEM CSL_CITATION {"citationID":"V0DSwDzB","properties":{"formattedCitation":"(Sihombing, 2012)","plainCitation":"(Sihombing, 2012)","dontUpdate":true,"noteIndex":0},"citationItems":[{"id":1674,"uris":["http://zotero.org/users/5061103/items/B3BZ2SR6"],"uri":["http://zotero.org/users/5061103/items/B3BZ2SR6"],"itemData":{"id":1674,"type":"article-journal","container-title":"International Research Journal of Business Studies","DOI":"10.21632/irjbs.5.1.57-71","ISSN":"20896271, 23384565","issue":"1","journalAbbreviation":"IRJBS","language":"en","page":"57-71","source":"DOI.org (Crossref)","title":"Comparing Entrepreneurship Intention: A Multigroup Structural Equation Modeling Approach","title-short":"Comparing Entrepreneurship Intention","volume":"5","author":[{"family":"Sihombing","given":"Sabrina O."}],"issued":{"date-parts":[["2012",4,1]]}}}],"schema":"https://github.com/citation-style-language/schema/raw/master/csl-citation.json"} </w:instrText>
      </w:r>
      <w:r w:rsidRPr="007F78BA">
        <w:rPr>
          <w:rFonts w:ascii="Times New Roman" w:eastAsia="Times New Roman" w:hAnsi="Times New Roman" w:cs="Times New Roman"/>
          <w:lang w:val="en-GB"/>
        </w:rPr>
        <w:fldChar w:fldCharType="separate"/>
      </w:r>
      <w:r w:rsidRPr="007F78BA">
        <w:rPr>
          <w:rFonts w:ascii="Times New Roman" w:eastAsia="Times New Roman" w:hAnsi="Times New Roman" w:cs="Times New Roman"/>
          <w:lang w:val="en-GB"/>
        </w:rPr>
        <w:t>Sihombing (2012)</w:t>
      </w:r>
      <w:r w:rsidRPr="007F78BA">
        <w:rPr>
          <w:rFonts w:ascii="Times New Roman" w:eastAsia="Times New Roman" w:hAnsi="Times New Roman" w:cs="Times New Roman"/>
          <w:lang w:val="en-GB"/>
        </w:rPr>
        <w:fldChar w:fldCharType="end"/>
      </w:r>
      <w:r w:rsidRPr="007F78BA">
        <w:rPr>
          <w:rFonts w:ascii="Times New Roman" w:eastAsia="Times New Roman" w:hAnsi="Times New Roman" w:cs="Times New Roman"/>
          <w:lang w:val="en-GB"/>
        </w:rPr>
        <w:t xml:space="preserve">). First, we established a baseline model for </w:t>
      </w:r>
      <w:r w:rsidR="00703D3C">
        <w:rPr>
          <w:rFonts w:ascii="Times New Roman" w:eastAsia="Times New Roman" w:hAnsi="Times New Roman" w:cs="Times New Roman"/>
          <w:lang w:val="en-GB"/>
        </w:rPr>
        <w:t>the</w:t>
      </w:r>
      <w:r w:rsidR="00703D3C" w:rsidRPr="007F78BA">
        <w:rPr>
          <w:rFonts w:ascii="Times New Roman" w:eastAsia="Times New Roman" w:hAnsi="Times New Roman" w:cs="Times New Roman"/>
          <w:lang w:val="en-GB"/>
        </w:rPr>
        <w:t xml:space="preserve"> </w:t>
      </w:r>
      <w:r w:rsidRPr="007F78BA">
        <w:rPr>
          <w:rFonts w:ascii="Times New Roman" w:eastAsia="Times New Roman" w:hAnsi="Times New Roman" w:cs="Times New Roman"/>
          <w:lang w:val="en-GB"/>
        </w:rPr>
        <w:t xml:space="preserve">samples from Spain and Turkey separately. </w:t>
      </w:r>
      <w:r w:rsidR="00FD34CB" w:rsidRPr="007F78BA">
        <w:rPr>
          <w:rFonts w:ascii="Times New Roman" w:eastAsia="Times New Roman" w:hAnsi="Times New Roman" w:cs="Times New Roman"/>
          <w:lang w:val="en-GB"/>
        </w:rPr>
        <w:t xml:space="preserve">Measurement invariance of a multiple-group confirmatory factor analysis (MG-CFA) is necessary when a construct is to be tested across groups or points in time, and to determine whether the compared groups are based on instruments that measure the same construct </w:t>
      </w:r>
      <w:r w:rsidR="00FD34CB" w:rsidRPr="007F78BA">
        <w:rPr>
          <w:rFonts w:ascii="Times New Roman" w:eastAsia="Times New Roman" w:hAnsi="Times New Roman" w:cs="Times New Roman"/>
          <w:lang w:val="en-GB"/>
        </w:rPr>
        <w:fldChar w:fldCharType="begin"/>
      </w:r>
      <w:r w:rsidR="00FD34CB" w:rsidRPr="007F78BA">
        <w:rPr>
          <w:rFonts w:ascii="Times New Roman" w:eastAsia="Times New Roman" w:hAnsi="Times New Roman" w:cs="Times New Roman"/>
          <w:lang w:val="en-GB"/>
        </w:rPr>
        <w:instrText xml:space="preserve"> ADDIN ZOTERO_ITEM CSL_CITATION {"citationID":"uDIfgaqa","properties":{"formattedCitation":"(Chen, 2007)","plainCitation":"(Chen, 2007)","noteIndex":0},"citationItems":[{"id":627,"uris":["http://zotero.org/users/5061103/items/2YL92MNC"],"uri":["http://zotero.org/users/5061103/items/2YL92MNC"],"itemData":{"id":627,"type":"article-journal","container-title":"Structural Equation Modeling: A Multidisciplinary Journal","DOI":"10.1080/10705510701301834","ISSN":"1070-5511, 1532-8007","issue":"3","journalAbbreviation":"Structural Equation Modeling: A Multidisciplinary Journal","language":"en","page":"464-504","source":"DOI.org (Crossref)","title":"Sensitivity of Goodness of Fit Indexes to Lack of Measurement Invariance","volume":"14","author":[{"family":"Chen","given":"Fang Fang"}],"issued":{"date-parts":[["2007",7,31]]}}}],"schema":"https://github.com/citation-style-language/schema/raw/master/csl-citation.json"} </w:instrText>
      </w:r>
      <w:r w:rsidR="00FD34CB" w:rsidRPr="007F78BA">
        <w:rPr>
          <w:rFonts w:ascii="Times New Roman" w:eastAsia="Times New Roman" w:hAnsi="Times New Roman" w:cs="Times New Roman"/>
          <w:lang w:val="en-GB"/>
        </w:rPr>
        <w:fldChar w:fldCharType="separate"/>
      </w:r>
      <w:r w:rsidR="00FD34CB" w:rsidRPr="007F78BA">
        <w:rPr>
          <w:rFonts w:ascii="Times New Roman" w:eastAsia="Times New Roman" w:hAnsi="Times New Roman" w:cs="Times New Roman"/>
          <w:lang w:val="en-GB"/>
        </w:rPr>
        <w:t>(Chen, 2007)</w:t>
      </w:r>
      <w:r w:rsidR="00FD34CB" w:rsidRPr="007F78BA">
        <w:rPr>
          <w:rFonts w:ascii="Times New Roman" w:eastAsia="Times New Roman" w:hAnsi="Times New Roman" w:cs="Times New Roman"/>
          <w:lang w:val="en-GB"/>
        </w:rPr>
        <w:fldChar w:fldCharType="end"/>
      </w:r>
      <w:r w:rsidR="00FD34CB" w:rsidRPr="007F78BA">
        <w:rPr>
          <w:rFonts w:ascii="Times New Roman" w:eastAsia="Times New Roman" w:hAnsi="Times New Roman" w:cs="Times New Roman"/>
          <w:lang w:val="en-GB"/>
        </w:rPr>
        <w:t xml:space="preserve">. Levels of measurement invariance </w:t>
      </w:r>
      <w:r w:rsidR="00FD34CB" w:rsidRPr="007F78BA">
        <w:rPr>
          <w:rFonts w:ascii="Times New Roman" w:eastAsia="Times New Roman" w:hAnsi="Times New Roman" w:cs="Times New Roman"/>
          <w:lang w:val="en-GB"/>
        </w:rPr>
        <w:lastRenderedPageBreak/>
        <w:t xml:space="preserve">has implications on the interpretation of differences across groups </w:t>
      </w:r>
      <w:r w:rsidR="00FD34CB" w:rsidRPr="007F78BA">
        <w:rPr>
          <w:rFonts w:ascii="Times New Roman" w:eastAsia="Times New Roman" w:hAnsi="Times New Roman" w:cs="Times New Roman"/>
          <w:lang w:val="en-GB"/>
        </w:rPr>
        <w:fldChar w:fldCharType="begin"/>
      </w:r>
      <w:r w:rsidR="00FD34CB" w:rsidRPr="007F78BA">
        <w:rPr>
          <w:rFonts w:ascii="Times New Roman" w:eastAsia="Times New Roman" w:hAnsi="Times New Roman" w:cs="Times New Roman"/>
          <w:lang w:val="en-GB"/>
        </w:rPr>
        <w:instrText xml:space="preserve"> ADDIN ZOTERO_ITEM CSL_CITATION {"citationID":"c9jZJrDm","properties":{"formattedCitation":"(Hirschfeld &amp; von Brachel, 2014)","plainCitation":"(Hirschfeld &amp; von Brachel, 2014)","noteIndex":0},"citationItems":[{"id":626,"uris":["http://zotero.org/users/5061103/items/8LNT5A92"],"uri":["http://zotero.org/users/5061103/items/8LNT5A92"],"itemData":{"id":626,"type":"article-journal","container-title":"Practical Assessment, Research &amp; Evaluation","issue":"7","language":"en","page":"1-13","source":"Zotero","title":"Multiple-Group confirmatory factor analysis in R – A tutorial in measurement invariance with continuous and ordinal indicators","volume":"19","author":[{"family":"Hirschfeld","given":"Gerrit"},{"family":"Brachel","given":"Ruth","non-dropping-particle":"von"}],"issued":{"date-parts":[["2014"]]}}}],"schema":"https://github.com/citation-style-language/schema/raw/master/csl-citation.json"} </w:instrText>
      </w:r>
      <w:r w:rsidR="00FD34CB" w:rsidRPr="007F78BA">
        <w:rPr>
          <w:rFonts w:ascii="Times New Roman" w:eastAsia="Times New Roman" w:hAnsi="Times New Roman" w:cs="Times New Roman"/>
          <w:lang w:val="en-GB"/>
        </w:rPr>
        <w:fldChar w:fldCharType="separate"/>
      </w:r>
      <w:r w:rsidR="00FD34CB" w:rsidRPr="007F78BA">
        <w:rPr>
          <w:rFonts w:ascii="Times New Roman" w:eastAsia="Times New Roman" w:hAnsi="Times New Roman" w:cs="Times New Roman"/>
          <w:lang w:val="en-GB"/>
        </w:rPr>
        <w:t>(Hirschfeld &amp; von Brachel, 2014)</w:t>
      </w:r>
      <w:r w:rsidR="00FD34CB" w:rsidRPr="007F78BA">
        <w:rPr>
          <w:rFonts w:ascii="Times New Roman" w:eastAsia="Times New Roman" w:hAnsi="Times New Roman" w:cs="Times New Roman"/>
          <w:lang w:val="en-GB"/>
        </w:rPr>
        <w:fldChar w:fldCharType="end"/>
      </w:r>
      <w:r w:rsidR="00FD34CB" w:rsidRPr="007F78BA">
        <w:rPr>
          <w:rFonts w:ascii="Times New Roman" w:eastAsia="Times New Roman" w:hAnsi="Times New Roman" w:cs="Times New Roman"/>
          <w:lang w:val="en-GB"/>
        </w:rPr>
        <w:t xml:space="preserve">. Therefore, the goal is to determine and establish the measurement invariance, so that we can have a statistical model in which we can assume that the constructs are interpreted in the same way by the participants across groups </w:t>
      </w:r>
      <w:r w:rsidR="00FD34CB" w:rsidRPr="007F78BA">
        <w:rPr>
          <w:rFonts w:ascii="Times New Roman" w:eastAsia="Times New Roman" w:hAnsi="Times New Roman" w:cs="Times New Roman"/>
          <w:lang w:val="en-GB"/>
        </w:rPr>
        <w:fldChar w:fldCharType="begin"/>
      </w:r>
      <w:r w:rsidR="00FD34CB" w:rsidRPr="007F78BA">
        <w:rPr>
          <w:rFonts w:ascii="Times New Roman" w:eastAsia="Times New Roman" w:hAnsi="Times New Roman" w:cs="Times New Roman"/>
          <w:lang w:val="en-GB"/>
        </w:rPr>
        <w:instrText xml:space="preserve"> ADDIN ZOTERO_ITEM CSL_CITATION {"citationID":"MLTsViso","properties":{"formattedCitation":"(van de Schoot et al., 2012)","plainCitation":"(van de Schoot et al., 2012)","noteIndex":0},"citationItems":[{"id":634,"uris":["http://zotero.org/users/5061103/items/V9PTEHUR"],"uri":["http://zotero.org/users/5061103/items/V9PTEHUR"],"itemData":{"id":634,"type":"article-journal","abstract":"The analysis of measurement invariance of latent constructs is important in research across groups, or across time. By establishing whether factor loadings, intercepts and residual variances are equivalent in a factor model that measures a latent concept, we can assure that comparisons that are made on the latent variable are valid across groups or time. Establishing measurement invariance involves running a set of increasingly constrained Structural Equation Models, and testing whether differences between these models are significant. This paper provides a step-by-step guide in analyzing Measurement Invariance.","container-title":"European Journal of Developmental Psychology","DOI":"10.1080/17405629.2012.686740","ISSN":"1740-5629, 1740-5610","issue":"4","journalAbbreviation":"European Journal of Developmental Psychology","language":"en","page":"486-492","source":"DOI.org (Crossref)","title":"A checklist for testing measurement invariance","volume":"9","author":[{"family":"Schoot","given":"Rens","non-dropping-particle":"van de"},{"family":"Lugtig","given":"Peter"},{"family":"Hox","given":"Joop"}],"issued":{"date-parts":[["2012",7]]}}}],"schema":"https://github.com/citation-style-language/schema/raw/master/csl-citation.json"} </w:instrText>
      </w:r>
      <w:r w:rsidR="00FD34CB" w:rsidRPr="007F78BA">
        <w:rPr>
          <w:rFonts w:ascii="Times New Roman" w:eastAsia="Times New Roman" w:hAnsi="Times New Roman" w:cs="Times New Roman"/>
          <w:lang w:val="en-GB"/>
        </w:rPr>
        <w:fldChar w:fldCharType="separate"/>
      </w:r>
      <w:r w:rsidR="00FD34CB" w:rsidRPr="007F78BA">
        <w:rPr>
          <w:rFonts w:ascii="Times New Roman" w:eastAsia="Times New Roman" w:hAnsi="Times New Roman" w:cs="Times New Roman"/>
          <w:lang w:val="en-GB"/>
        </w:rPr>
        <w:t>(van de Schoot et al., 2012)</w:t>
      </w:r>
      <w:r w:rsidR="00FD34CB" w:rsidRPr="007F78BA">
        <w:rPr>
          <w:rFonts w:ascii="Times New Roman" w:eastAsia="Times New Roman" w:hAnsi="Times New Roman" w:cs="Times New Roman"/>
          <w:lang w:val="en-GB"/>
        </w:rPr>
        <w:fldChar w:fldCharType="end"/>
      </w:r>
      <w:r w:rsidR="00FD34CB" w:rsidRPr="007F78BA">
        <w:rPr>
          <w:rFonts w:ascii="Times New Roman" w:eastAsia="Times New Roman" w:hAnsi="Times New Roman" w:cs="Times New Roman"/>
          <w:lang w:val="en-GB"/>
        </w:rPr>
        <w:t xml:space="preserve">. Briefly, measurement invariance is established by first having a baseline CFA model where the paths are the same across groups, but parameter loadings, intercepts, and residuals are allowed to vary across groups. Then, a series of model comparisons are examined, into which we introduce stricter equality constrains to be able to test the model fit’s change. If all the equality constrains and the model fit the data well, then the interpretation of the relationship can be attributed to pure differences across groups. These steps are explained in greater detail elsewhere </w:t>
      </w:r>
      <w:r w:rsidR="00FD34CB" w:rsidRPr="007F78BA">
        <w:rPr>
          <w:rFonts w:ascii="Times New Roman" w:eastAsia="Times New Roman" w:hAnsi="Times New Roman" w:cs="Times New Roman"/>
          <w:lang w:val="en-GB"/>
        </w:rPr>
        <w:fldChar w:fldCharType="begin"/>
      </w:r>
      <w:r w:rsidR="00FD34CB" w:rsidRPr="007F78BA">
        <w:rPr>
          <w:rFonts w:ascii="Times New Roman" w:eastAsia="Times New Roman" w:hAnsi="Times New Roman" w:cs="Times New Roman"/>
          <w:lang w:val="en-GB"/>
        </w:rPr>
        <w:instrText xml:space="preserve"> ADDIN ZOTERO_ITEM CSL_CITATION {"citationID":"UMPp7nBM","properties":{"formattedCitation":"(Chen, 2007; Hirschfeld &amp; von Brachel, 2014; van de Schoot et al., 2012)","plainCitation":"(Chen, 2007; Hirschfeld &amp; von Brachel, 2014; van de Schoot et al., 2012)","noteIndex":0},"citationItems":[{"id":627,"uris":["http://zotero.org/users/5061103/items/2YL92MNC"],"uri":["http://zotero.org/users/5061103/items/2YL92MNC"],"itemData":{"id":627,"type":"article-journal","container-title":"Structural Equation Modeling: A Multidisciplinary Journal","DOI":"10.1080/10705510701301834","ISSN":"1070-5511, 1532-8007","issue":"3","journalAbbreviation":"Structural Equation Modeling: A Multidisciplinary Journal","language":"en","page":"464-504","source":"DOI.org (Crossref)","title":"Sensitivity of Goodness of Fit Indexes to Lack of Measurement Invariance","volume":"14","author":[{"family":"Chen","given":"Fang Fang"}],"issued":{"date-parts":[["2007",7,31]]}}},{"id":626,"uris":["http://zotero.org/users/5061103/items/8LNT5A92"],"uri":["http://zotero.org/users/5061103/items/8LNT5A92"],"itemData":{"id":626,"type":"article-journal","container-title":"Practical Assessment, Research &amp; Evaluation","issue":"7","language":"en","page":"1-13","source":"Zotero","title":"Multiple-Group confirmatory factor analysis in R – A tutorial in measurement invariance with continuous and ordinal indicators","volume":"19","author":[{"family":"Hirschfeld","given":"Gerrit"},{"family":"Brachel","given":"Ruth","non-dropping-particle":"von"}],"issued":{"date-parts":[["2014"]]}}},{"id":634,"uris":["http://zotero.org/users/5061103/items/V9PTEHUR"],"uri":["http://zotero.org/users/5061103/items/V9PTEHUR"],"itemData":{"id":634,"type":"article-journal","abstract":"The analysis of measurement invariance of latent constructs is important in research across groups, or across time. By establishing whether factor loadings, intercepts and residual variances are equivalent in a factor model that measures a latent concept, we can assure that comparisons that are made on the latent variable are valid across groups or time. Establishing measurement invariance involves running a set of increasingly constrained Structural Equation Models, and testing whether differences between these models are significant. This paper provides a step-by-step guide in analyzing Measurement Invariance.","container-title":"European Journal of Developmental Psychology","DOI":"10.1080/17405629.2012.686740","ISSN":"1740-5629, 1740-5610","issue":"4","journalAbbreviation":"European Journal of Developmental Psychology","language":"en","page":"486-492","source":"DOI.org (Crossref)","title":"A checklist for testing measurement invariance","volume":"9","author":[{"family":"Schoot","given":"Rens","non-dropping-particle":"van de"},{"family":"Lugtig","given":"Peter"},{"family":"Hox","given":"Joop"}],"issued":{"date-parts":[["2012",7]]}}}],"schema":"https://github.com/citation-style-language/schema/raw/master/csl-citation.json"} </w:instrText>
      </w:r>
      <w:r w:rsidR="00FD34CB" w:rsidRPr="007F78BA">
        <w:rPr>
          <w:rFonts w:ascii="Times New Roman" w:eastAsia="Times New Roman" w:hAnsi="Times New Roman" w:cs="Times New Roman"/>
          <w:lang w:val="en-GB"/>
        </w:rPr>
        <w:fldChar w:fldCharType="separate"/>
      </w:r>
      <w:r w:rsidR="00FD34CB" w:rsidRPr="007F78BA">
        <w:rPr>
          <w:rFonts w:ascii="Times New Roman" w:eastAsia="Times New Roman" w:hAnsi="Times New Roman" w:cs="Times New Roman"/>
          <w:lang w:val="en-GB"/>
        </w:rPr>
        <w:t>(Chen, 2007; Hirschfeld &amp; von Brachel, 2014; van de Schoot et al., 2012)</w:t>
      </w:r>
      <w:r w:rsidR="00FD34CB" w:rsidRPr="007F78BA">
        <w:rPr>
          <w:rFonts w:ascii="Times New Roman" w:eastAsia="Times New Roman" w:hAnsi="Times New Roman" w:cs="Times New Roman"/>
          <w:lang w:val="en-GB"/>
        </w:rPr>
        <w:fldChar w:fldCharType="end"/>
      </w:r>
      <w:r w:rsidR="00FD34CB" w:rsidRPr="007F78BA">
        <w:rPr>
          <w:rFonts w:ascii="Times New Roman" w:eastAsia="Times New Roman" w:hAnsi="Times New Roman" w:cs="Times New Roman"/>
          <w:lang w:val="en-GB"/>
        </w:rPr>
        <w:t xml:space="preserve">. </w:t>
      </w:r>
    </w:p>
    <w:p w14:paraId="533682D5" w14:textId="1A780F46" w:rsidR="00FD34CB" w:rsidRPr="007F78BA" w:rsidRDefault="00703D3C" w:rsidP="00FD34CB">
      <w:pPr>
        <w:spacing w:line="276" w:lineRule="auto"/>
        <w:ind w:firstLine="720"/>
        <w:jc w:val="both"/>
        <w:rPr>
          <w:rFonts w:ascii="Times New Roman" w:eastAsia="Times New Roman" w:hAnsi="Times New Roman" w:cs="Times New Roman"/>
          <w:lang w:val="en-GB"/>
        </w:rPr>
      </w:pPr>
      <w:r>
        <w:rPr>
          <w:rFonts w:ascii="Times New Roman" w:eastAsia="Times New Roman" w:hAnsi="Times New Roman" w:cs="Times New Roman"/>
          <w:lang w:val="en-GB"/>
        </w:rPr>
        <w:t>F</w:t>
      </w:r>
      <w:r w:rsidR="00FD34CB" w:rsidRPr="007F78BA">
        <w:rPr>
          <w:rFonts w:ascii="Times New Roman" w:eastAsia="Times New Roman" w:hAnsi="Times New Roman" w:cs="Times New Roman"/>
          <w:lang w:val="en-GB"/>
        </w:rPr>
        <w:t xml:space="preserve">ollowing </w:t>
      </w:r>
      <w:r>
        <w:rPr>
          <w:rFonts w:ascii="Times New Roman" w:eastAsia="Times New Roman" w:hAnsi="Times New Roman" w:cs="Times New Roman"/>
          <w:lang w:val="en-GB"/>
        </w:rPr>
        <w:t xml:space="preserve">the </w:t>
      </w:r>
      <w:proofErr w:type="gramStart"/>
      <w:r w:rsidR="00FD34CB" w:rsidRPr="007F78BA">
        <w:rPr>
          <w:rFonts w:ascii="Times New Roman" w:eastAsia="Times New Roman" w:hAnsi="Times New Roman" w:cs="Times New Roman"/>
          <w:lang w:val="en-GB"/>
        </w:rPr>
        <w:t>above mentioned</w:t>
      </w:r>
      <w:proofErr w:type="gramEnd"/>
      <w:r w:rsidR="00FD34CB" w:rsidRPr="007F78BA">
        <w:rPr>
          <w:rFonts w:ascii="Times New Roman" w:eastAsia="Times New Roman" w:hAnsi="Times New Roman" w:cs="Times New Roman"/>
          <w:lang w:val="en-GB"/>
        </w:rPr>
        <w:t xml:space="preserve"> steps, w</w:t>
      </w:r>
      <w:r w:rsidR="00AA57F3" w:rsidRPr="007F78BA">
        <w:rPr>
          <w:rFonts w:ascii="Times New Roman" w:eastAsia="Times New Roman" w:hAnsi="Times New Roman" w:cs="Times New Roman"/>
          <w:lang w:val="en-GB"/>
        </w:rPr>
        <w:t xml:space="preserve">e established </w:t>
      </w:r>
      <w:r>
        <w:rPr>
          <w:rFonts w:ascii="Times New Roman" w:eastAsia="Times New Roman" w:hAnsi="Times New Roman" w:cs="Times New Roman"/>
          <w:lang w:val="en-GB"/>
        </w:rPr>
        <w:t xml:space="preserve">the </w:t>
      </w:r>
      <w:r w:rsidR="00AA57F3" w:rsidRPr="007F78BA">
        <w:rPr>
          <w:rFonts w:ascii="Times New Roman" w:eastAsia="Times New Roman" w:hAnsi="Times New Roman" w:cs="Times New Roman"/>
          <w:lang w:val="en-GB"/>
        </w:rPr>
        <w:t xml:space="preserve">model’s fit using confirmatory factor analysis (CFA) for each sample separately, to determine how well the models fit the data across groups when no cross-groups constraints are imposed. </w:t>
      </w:r>
      <w:r>
        <w:rPr>
          <w:rFonts w:ascii="Times New Roman" w:eastAsia="Times New Roman" w:hAnsi="Times New Roman" w:cs="Times New Roman"/>
          <w:lang w:val="en-GB"/>
        </w:rPr>
        <w:t>Next</w:t>
      </w:r>
      <w:r w:rsidR="00AA57F3" w:rsidRPr="007F78BA">
        <w:rPr>
          <w:rFonts w:ascii="Times New Roman" w:eastAsia="Times New Roman" w:hAnsi="Times New Roman" w:cs="Times New Roman"/>
          <w:lang w:val="en-GB"/>
        </w:rPr>
        <w:t xml:space="preserve">, we introduced equality constraints on </w:t>
      </w:r>
      <w:proofErr w:type="gramStart"/>
      <w:r w:rsidR="00AA57F3" w:rsidRPr="007F78BA">
        <w:rPr>
          <w:rFonts w:ascii="Times New Roman" w:eastAsia="Times New Roman" w:hAnsi="Times New Roman" w:cs="Times New Roman"/>
          <w:lang w:val="en-GB"/>
        </w:rPr>
        <w:t>particular parameters</w:t>
      </w:r>
      <w:proofErr w:type="gramEnd"/>
      <w:r w:rsidR="00AA57F3" w:rsidRPr="007F78BA">
        <w:rPr>
          <w:rFonts w:ascii="Times New Roman" w:eastAsia="Times New Roman" w:hAnsi="Times New Roman" w:cs="Times New Roman"/>
          <w:lang w:val="en-GB"/>
        </w:rPr>
        <w:t xml:space="preserve"> step-by-step and analysed the data simultaneously. When the multi-group CFA’s measurement validity was established, we introduced structural constraints to our multi-group SEM model to determine whether our SEM model’s results were attributable to actual differences across groups, instead of differences of coefficients and parameters estimated from covariances derived from different subsets. </w:t>
      </w:r>
    </w:p>
    <w:p w14:paraId="526A3A2B" w14:textId="5560FCEB" w:rsidR="00E82DB0" w:rsidRPr="007F78BA" w:rsidRDefault="00AA57F3" w:rsidP="00157A2D">
      <w:pPr>
        <w:spacing w:line="276" w:lineRule="auto"/>
        <w:ind w:firstLine="720"/>
        <w:jc w:val="both"/>
        <w:rPr>
          <w:rFonts w:ascii="Times New Roman" w:eastAsia="Times New Roman" w:hAnsi="Times New Roman" w:cs="Times New Roman"/>
          <w:lang w:val="en-GB"/>
        </w:rPr>
      </w:pPr>
      <w:r w:rsidRPr="007F78BA">
        <w:rPr>
          <w:rFonts w:ascii="Times New Roman" w:eastAsia="Times New Roman" w:hAnsi="Times New Roman" w:cs="Times New Roman"/>
          <w:lang w:val="en-GB"/>
        </w:rPr>
        <w:t xml:space="preserve">We explain these steps in greater detail in the Appendix. At all steps mentioned, we used commonly employed key fit indices, such as </w:t>
      </w:r>
      <w:r w:rsidR="002C54A2" w:rsidRPr="007F78BA">
        <w:rPr>
          <w:rFonts w:ascii="Times New Roman" w:eastAsia="Times New Roman" w:hAnsi="Times New Roman" w:cs="Times New Roman"/>
          <w:lang w:val="en-GB"/>
        </w:rPr>
        <w:t xml:space="preserve">(a) the Comparative Fit Index (CFI); (b) the Tucker-Lewis Index (TLI); (c) the root mean square error of approximation (RMSEA), and (d) Standardized root mean squared residual (SRMR) </w:t>
      </w:r>
      <w:r w:rsidRPr="007F78BA">
        <w:rPr>
          <w:rFonts w:ascii="Times New Roman" w:eastAsia="Times New Roman" w:hAnsi="Times New Roman" w:cs="Times New Roman"/>
          <w:lang w:val="en-GB"/>
        </w:rPr>
        <w:fldChar w:fldCharType="begin"/>
      </w:r>
      <w:r w:rsidRPr="007F78BA">
        <w:rPr>
          <w:rFonts w:ascii="Times New Roman" w:eastAsia="Times New Roman" w:hAnsi="Times New Roman" w:cs="Times New Roman"/>
          <w:lang w:val="en-GB"/>
        </w:rPr>
        <w:instrText xml:space="preserve"> ADDIN ZOTERO_ITEM CSL_CITATION {"citationID":"tHbmH3MW","properties":{"formattedCitation":"(Hu &amp; Bentler, 1999; Weston &amp; Gore, 2006)","plainCitation":"(Hu &amp; Bentler, 1999; Weston &amp; Gore, 2006)","noteIndex":0},"citationItems":[{"id":533,"uris":["http://zotero.org/users/5061103/items/JKI6JSTL"],"uri":["http://zotero.org/users/5061103/items/JKI6JSTL"],"itemData":{"id":533,"type":"article-journal","container-title":"Structural Equation Modeling: A Multidisciplinary Journal","DOI":"10.1080/10705519909540118","ISSN":"1070-5511, 1532-8007","issue":"1","language":"en","page":"1-55","source":"Crossref","title":"Cutoff criteria for fit indexes in covariance structure analysis: Conventional criteria versus new alternatives","title-short":"Cutoff criteria for fit indexes in covariance structure analysis","volume":"6","author":[{"family":"Hu","given":"Li</w:instrText>
      </w:r>
      <w:r w:rsidRPr="007F78BA">
        <w:rPr>
          <w:rFonts w:ascii="Cambria Math" w:eastAsia="Times New Roman" w:hAnsi="Cambria Math" w:cs="Cambria Math"/>
          <w:lang w:val="en-GB"/>
        </w:rPr>
        <w:instrText>‐</w:instrText>
      </w:r>
      <w:r w:rsidRPr="007F78BA">
        <w:rPr>
          <w:rFonts w:ascii="Times New Roman" w:eastAsia="Times New Roman" w:hAnsi="Times New Roman" w:cs="Times New Roman"/>
          <w:lang w:val="en-GB"/>
        </w:rPr>
        <w:instrText xml:space="preserve">tze"},{"family":"Bentler","given":"Peter M."}],"issued":{"date-parts":[["1999",1]]}}},{"id":739,"uris":["http://zotero.org/users/5061103/items/4VD9T4GL"],"uri":["http://zotero.org/users/5061103/items/4VD9T4GL"],"itemData":{"id":739,"type":"article-journal","container-title":"The Counseling Psychologist","DOI":"10.1177/0011000006286345","ISSN":"0011-0000, 1552-3861","issue":"5","language":"en","page":"719-751","source":"Crossref","title":"A Brief Guide to Structural Equation Modeling","volume":"34","author":[{"family":"Weston","given":"Rebecca"},{"family":"Gore","given":"Paul A."}],"issued":{"date-parts":[["2006",9]]}}}],"schema":"https://github.com/citation-style-language/schema/raw/master/csl-citation.json"} </w:instrText>
      </w:r>
      <w:r w:rsidRPr="007F78BA">
        <w:rPr>
          <w:rFonts w:ascii="Times New Roman" w:eastAsia="Times New Roman" w:hAnsi="Times New Roman" w:cs="Times New Roman"/>
          <w:lang w:val="en-GB"/>
        </w:rPr>
        <w:fldChar w:fldCharType="separate"/>
      </w:r>
      <w:r w:rsidRPr="007F78BA">
        <w:rPr>
          <w:rFonts w:ascii="Times New Roman" w:eastAsia="Times New Roman" w:hAnsi="Times New Roman" w:cs="Times New Roman"/>
          <w:lang w:val="en-GB"/>
        </w:rPr>
        <w:t>(Hu &amp; Bentler, 1999; Weston &amp; Gore, 2006)</w:t>
      </w:r>
      <w:r w:rsidRPr="007F78BA">
        <w:rPr>
          <w:rFonts w:ascii="Times New Roman" w:eastAsia="Times New Roman" w:hAnsi="Times New Roman" w:cs="Times New Roman"/>
          <w:lang w:val="en-GB"/>
        </w:rPr>
        <w:fldChar w:fldCharType="end"/>
      </w:r>
      <w:r w:rsidRPr="007F78BA">
        <w:rPr>
          <w:rFonts w:ascii="Times New Roman" w:eastAsia="Times New Roman" w:hAnsi="Times New Roman" w:cs="Times New Roman"/>
          <w:lang w:val="en-GB"/>
        </w:rPr>
        <w:t xml:space="preserve">. </w:t>
      </w:r>
      <w:r w:rsidR="00703D3C">
        <w:rPr>
          <w:rFonts w:ascii="Times New Roman" w:eastAsia="Times New Roman" w:hAnsi="Times New Roman" w:cs="Times New Roman"/>
          <w:lang w:val="en-GB"/>
        </w:rPr>
        <w:t>Most</w:t>
      </w:r>
      <w:r w:rsidR="002C54A2" w:rsidRPr="007F78BA">
        <w:rPr>
          <w:rFonts w:ascii="Times New Roman" w:eastAsia="Times New Roman" w:hAnsi="Times New Roman" w:cs="Times New Roman"/>
          <w:lang w:val="en-GB"/>
        </w:rPr>
        <w:t xml:space="preserve"> studies suggest that values higher than .95 for CFI and TLI indicate good fit (Hu &amp; </w:t>
      </w:r>
      <w:proofErr w:type="spellStart"/>
      <w:r w:rsidR="002C54A2" w:rsidRPr="007F78BA">
        <w:rPr>
          <w:rFonts w:ascii="Times New Roman" w:eastAsia="Times New Roman" w:hAnsi="Times New Roman" w:cs="Times New Roman"/>
          <w:lang w:val="en-GB"/>
        </w:rPr>
        <w:t>Bentler</w:t>
      </w:r>
      <w:proofErr w:type="spellEnd"/>
      <w:r w:rsidR="002C54A2" w:rsidRPr="007F78BA">
        <w:rPr>
          <w:rFonts w:ascii="Times New Roman" w:eastAsia="Times New Roman" w:hAnsi="Times New Roman" w:cs="Times New Roman"/>
          <w:lang w:val="en-GB"/>
        </w:rPr>
        <w:t>, 1999; Weston &amp; Gore, 2006)</w:t>
      </w:r>
      <w:r w:rsidR="00703D3C">
        <w:rPr>
          <w:rFonts w:ascii="Times New Roman" w:eastAsia="Times New Roman" w:hAnsi="Times New Roman" w:cs="Times New Roman"/>
          <w:lang w:val="en-GB"/>
        </w:rPr>
        <w:t>,</w:t>
      </w:r>
      <w:r w:rsidR="002C54A2" w:rsidRPr="007F78BA">
        <w:rPr>
          <w:rFonts w:ascii="Times New Roman" w:eastAsia="Times New Roman" w:hAnsi="Times New Roman" w:cs="Times New Roman"/>
          <w:lang w:val="en-GB"/>
        </w:rPr>
        <w:t xml:space="preserve"> while </w:t>
      </w:r>
      <w:r w:rsidR="00703D3C">
        <w:rPr>
          <w:rFonts w:ascii="Times New Roman" w:eastAsia="Times New Roman" w:hAnsi="Times New Roman" w:cs="Times New Roman"/>
          <w:lang w:val="en-GB"/>
        </w:rPr>
        <w:t>some</w:t>
      </w:r>
      <w:r w:rsidR="00703D3C" w:rsidRPr="007F78BA">
        <w:rPr>
          <w:rFonts w:ascii="Times New Roman" w:eastAsia="Times New Roman" w:hAnsi="Times New Roman" w:cs="Times New Roman"/>
          <w:lang w:val="en-GB"/>
        </w:rPr>
        <w:t xml:space="preserve"> </w:t>
      </w:r>
      <w:r w:rsidR="002C54A2" w:rsidRPr="007F78BA">
        <w:rPr>
          <w:rFonts w:ascii="Times New Roman" w:eastAsia="Times New Roman" w:hAnsi="Times New Roman" w:cs="Times New Roman"/>
          <w:lang w:val="en-GB"/>
        </w:rPr>
        <w:t xml:space="preserve">suggest that CFI and TLI &gt; .90 indicate a good fit to data </w:t>
      </w:r>
      <w:r w:rsidR="002C54A2" w:rsidRPr="007F78BA">
        <w:rPr>
          <w:rFonts w:ascii="Times New Roman" w:eastAsia="Times New Roman" w:hAnsi="Times New Roman" w:cs="Times New Roman"/>
          <w:lang w:val="en-GB"/>
        </w:rPr>
        <w:fldChar w:fldCharType="begin"/>
      </w:r>
      <w:r w:rsidR="006C1441">
        <w:rPr>
          <w:rFonts w:ascii="Times New Roman" w:eastAsia="Times New Roman" w:hAnsi="Times New Roman" w:cs="Times New Roman"/>
          <w:lang w:val="en-GB"/>
        </w:rPr>
        <w:instrText xml:space="preserve"> ADDIN ZOTERO_ITEM CSL_CITATION {"citationID":"jsTJI1a2","properties":{"formattedCitation":"(Moonie et al., 2009)","plainCitation":"(Moonie et al., 2009)","noteIndex":0},"citationItems":[{"id":527,"uris":["http://zotero.org/users/5061103/items/NHGBYKTH"],"uri":["http://zotero.org/users/5061103/items/NHGBYKTH"],"itemData":{"id":527,"type":"article-journal","language":"en","page":"1-16","source":"Zotero","title":"Quality of Life Estimation with Structural Equation Modeling in School Aged Children with Asthma","volume":"3","author":[{"family":"Moonie","given":"Sheniz"},{"family":"Huang","given":"Xuan"},{"family":"Sterling","given":"David A"}],"issued":{"date-parts":[["2009"]]}}}],"schema":"https://github.com/citation-style-language/schema/raw/master/csl-citation.json"} </w:instrText>
      </w:r>
      <w:r w:rsidR="002C54A2" w:rsidRPr="007F78BA">
        <w:rPr>
          <w:rFonts w:ascii="Times New Roman" w:eastAsia="Times New Roman" w:hAnsi="Times New Roman" w:cs="Times New Roman"/>
          <w:lang w:val="en-GB"/>
        </w:rPr>
        <w:fldChar w:fldCharType="separate"/>
      </w:r>
      <w:r w:rsidR="002C54A2" w:rsidRPr="007F78BA">
        <w:rPr>
          <w:rFonts w:ascii="Times New Roman" w:eastAsia="Times New Roman" w:hAnsi="Times New Roman" w:cs="Times New Roman"/>
          <w:lang w:val="en-GB"/>
        </w:rPr>
        <w:t>(Moonie et al., 2009)</w:t>
      </w:r>
      <w:r w:rsidR="002C54A2" w:rsidRPr="007F78BA">
        <w:rPr>
          <w:rFonts w:ascii="Times New Roman" w:eastAsia="Times New Roman" w:hAnsi="Times New Roman" w:cs="Times New Roman"/>
          <w:lang w:val="en-GB"/>
        </w:rPr>
        <w:fldChar w:fldCharType="end"/>
      </w:r>
      <w:r w:rsidR="002C54A2" w:rsidRPr="007F78BA">
        <w:rPr>
          <w:rFonts w:ascii="Times New Roman" w:eastAsia="Times New Roman" w:hAnsi="Times New Roman" w:cs="Times New Roman"/>
          <w:lang w:val="en-GB"/>
        </w:rPr>
        <w:t xml:space="preserve"> as these fits indicates are susceptible to factors such as estimators and complexity </w:t>
      </w:r>
      <w:r w:rsidR="002C54A2" w:rsidRPr="007F78BA">
        <w:rPr>
          <w:rFonts w:ascii="Times New Roman" w:eastAsia="Times New Roman" w:hAnsi="Times New Roman" w:cs="Times New Roman"/>
          <w:lang w:val="en-GB"/>
        </w:rPr>
        <w:fldChar w:fldCharType="begin"/>
      </w:r>
      <w:r w:rsidR="002C54A2" w:rsidRPr="007F78BA">
        <w:rPr>
          <w:rFonts w:ascii="Times New Roman" w:eastAsia="Times New Roman" w:hAnsi="Times New Roman" w:cs="Times New Roman"/>
          <w:lang w:val="en-GB"/>
        </w:rPr>
        <w:instrText xml:space="preserve"> ADDIN ZOTERO_ITEM CSL_CITATION {"citationID":"QBeNg5Rg","properties":{"formattedCitation":"(Xia &amp; Yang, 2019)","plainCitation":"(Xia &amp; Yang, 2019)","noteIndex":0},"citationItems":[{"id":530,"uris":["http://zotero.org/users/5061103/items/M3M5SWCM"],"uri":["http://zotero.org/users/5061103/items/M3M5SWCM"],"itemData":{"id":530,"type":"article-journal","abstract":"In structural equation modeling, application of the root mean square error of approximation (RMSEA), comparative fit index (CFI), and Tucker–Lewis index (TLI) highly relies on the conventional cutoff values developed under normal-theory maximum likelihood (ML) with continuous data. For ordered categorical data, unweighted least squares (ULS) and diagonally weighted least squares (DWLS) based on polychoric correlation matrices have been recommended in previous studies. Although no clear suggestions exist regarding the application of these fit indices when analyzing ordered categorical variables, practitioners are still tempted to adopt the conventional cutoff rules. The purpose of our research was to answer the question: Given a population polychoric correlation matrix and a hypothesized model, if ML results in a specific RMSEA value (e.g., .08), what is the RMSEA value when ULS or DWLS is applied? CFI and TLI were investigated in the same fashion. Both simulated and empirical polychoric correlation matrices with various degrees of model misspecification were employed to address the above question. The results showed that DWLS and ULS lead to smaller RMSEA and larger CFI and TLI values than does ML for all manipulated conditions, regardless of whether or not the indices are scaled. Applying the conventional cutoffs to DWLS and ULS, therefore, has a pronounced tendency not to discover model–data misfit. Discussions regarding the use of RMSEA, CFI, and TLI for ordered categorical data are given.","container-title":"Behavior Research Methods","DOI":"10.3758/s13428-018-1055-2","ISSN":"1554-3528","issue":"1","language":"en","page":"409-428","source":"Crossref","title":"RMSEA, CFI, and TLI in structural equation modeling with ordered categorical data: The story they tell depends on the estimation methods","title-short":"RMSEA, CFI, and TLI in structural equation modeling with ordered categorical data","volume":"51","author":[{"family":"Xia","given":"Yan"},{"family":"Yang","given":"Yanyun"}],"issued":{"date-parts":[["2019",2]]}}}],"schema":"https://github.com/citation-style-language/schema/raw/master/csl-citation.json"} </w:instrText>
      </w:r>
      <w:r w:rsidR="002C54A2" w:rsidRPr="007F78BA">
        <w:rPr>
          <w:rFonts w:ascii="Times New Roman" w:eastAsia="Times New Roman" w:hAnsi="Times New Roman" w:cs="Times New Roman"/>
          <w:lang w:val="en-GB"/>
        </w:rPr>
        <w:fldChar w:fldCharType="separate"/>
      </w:r>
      <w:r w:rsidR="002C54A2" w:rsidRPr="007F78BA">
        <w:rPr>
          <w:rFonts w:ascii="Times New Roman" w:eastAsia="Times New Roman" w:hAnsi="Times New Roman" w:cs="Times New Roman"/>
          <w:lang w:val="en-GB"/>
        </w:rPr>
        <w:t>(Xia &amp; Yang, 2019)</w:t>
      </w:r>
      <w:r w:rsidR="002C54A2" w:rsidRPr="007F78BA">
        <w:rPr>
          <w:rFonts w:ascii="Times New Roman" w:eastAsia="Times New Roman" w:hAnsi="Times New Roman" w:cs="Times New Roman"/>
          <w:lang w:val="en-GB"/>
        </w:rPr>
        <w:fldChar w:fldCharType="end"/>
      </w:r>
      <w:r w:rsidR="002C54A2" w:rsidRPr="007F78BA">
        <w:rPr>
          <w:rFonts w:ascii="Times New Roman" w:eastAsia="Times New Roman" w:hAnsi="Times New Roman" w:cs="Times New Roman"/>
          <w:lang w:val="en-GB"/>
        </w:rPr>
        <w:t xml:space="preserve">. </w:t>
      </w:r>
      <w:r w:rsidR="00F960A2">
        <w:rPr>
          <w:rFonts w:ascii="Times New Roman" w:eastAsia="Times New Roman" w:hAnsi="Times New Roman" w:cs="Times New Roman"/>
          <w:lang w:val="en-GB"/>
        </w:rPr>
        <w:t xml:space="preserve">Given the complexity of our </w:t>
      </w:r>
      <w:r w:rsidR="00157A2D">
        <w:rPr>
          <w:rFonts w:ascii="Times New Roman" w:eastAsia="Times New Roman" w:hAnsi="Times New Roman" w:cs="Times New Roman"/>
          <w:lang w:val="en-GB"/>
        </w:rPr>
        <w:t>MG-</w:t>
      </w:r>
      <w:r w:rsidR="00F960A2">
        <w:rPr>
          <w:rFonts w:ascii="Times New Roman" w:eastAsia="Times New Roman" w:hAnsi="Times New Roman" w:cs="Times New Roman"/>
          <w:lang w:val="en-GB"/>
        </w:rPr>
        <w:t xml:space="preserve">SEM, we employ </w:t>
      </w:r>
      <w:r w:rsidR="00F960A2" w:rsidRPr="007F78BA">
        <w:rPr>
          <w:rFonts w:ascii="Times New Roman" w:eastAsia="Times New Roman" w:hAnsi="Times New Roman" w:cs="Times New Roman"/>
          <w:lang w:val="en-GB"/>
        </w:rPr>
        <w:t xml:space="preserve">CFI and TLI &gt; .90 </w:t>
      </w:r>
      <w:r w:rsidR="00F960A2">
        <w:rPr>
          <w:rFonts w:ascii="Times New Roman" w:eastAsia="Times New Roman" w:hAnsi="Times New Roman" w:cs="Times New Roman"/>
          <w:lang w:val="en-GB"/>
        </w:rPr>
        <w:t>as our fit indices criteria.</w:t>
      </w:r>
      <w:r w:rsidR="002C54A2" w:rsidRPr="007F78BA">
        <w:rPr>
          <w:rFonts w:ascii="Times New Roman" w:eastAsia="Times New Roman" w:hAnsi="Times New Roman" w:cs="Times New Roman"/>
          <w:lang w:val="en-GB"/>
        </w:rPr>
        <w:t xml:space="preserve"> Further, Hu &amp; </w:t>
      </w:r>
      <w:proofErr w:type="spellStart"/>
      <w:r w:rsidR="002C54A2" w:rsidRPr="007F78BA">
        <w:rPr>
          <w:rFonts w:ascii="Times New Roman" w:eastAsia="Times New Roman" w:hAnsi="Times New Roman" w:cs="Times New Roman"/>
          <w:lang w:val="en-GB"/>
        </w:rPr>
        <w:t>Bentler</w:t>
      </w:r>
      <w:proofErr w:type="spellEnd"/>
      <w:r w:rsidR="002C54A2" w:rsidRPr="007F78BA">
        <w:rPr>
          <w:rFonts w:ascii="Times New Roman" w:eastAsia="Times New Roman" w:hAnsi="Times New Roman" w:cs="Times New Roman"/>
          <w:lang w:val="en-GB"/>
        </w:rPr>
        <w:t xml:space="preserve"> (1999) suggested that values of RMSEA and SRMR &lt; .06 are acceptable, and these values are widely accepted (Weston &amp; Gore, 2006).</w:t>
      </w:r>
    </w:p>
    <w:p w14:paraId="523A2606" w14:textId="68FE9572" w:rsidR="00E82DB0" w:rsidRPr="007F78BA" w:rsidRDefault="00E82DB0" w:rsidP="00E82DB0">
      <w:pPr>
        <w:pStyle w:val="Overskrift1"/>
        <w:rPr>
          <w:rFonts w:eastAsia="Times New Roman"/>
          <w:lang w:val="en-GB"/>
        </w:rPr>
      </w:pPr>
      <w:r w:rsidRPr="007F78BA">
        <w:rPr>
          <w:rFonts w:eastAsia="Times New Roman"/>
          <w:lang w:val="en-GB"/>
        </w:rPr>
        <w:t>Results</w:t>
      </w:r>
    </w:p>
    <w:p w14:paraId="1DABADDC" w14:textId="1DE15820" w:rsidR="00CD0D28" w:rsidRPr="007F78BA" w:rsidRDefault="00CD0D28" w:rsidP="00CD0D28">
      <w:pPr>
        <w:pStyle w:val="Overskrift2"/>
        <w:rPr>
          <w:lang w:val="en-GB"/>
        </w:rPr>
      </w:pPr>
      <w:r w:rsidRPr="007F78BA">
        <w:rPr>
          <w:lang w:val="en-GB"/>
        </w:rPr>
        <w:t>Descrip</w:t>
      </w:r>
      <w:r w:rsidR="00E82DB0" w:rsidRPr="007F78BA">
        <w:rPr>
          <w:lang w:val="en-GB"/>
        </w:rPr>
        <w:t>t</w:t>
      </w:r>
      <w:r w:rsidRPr="007F78BA">
        <w:rPr>
          <w:lang w:val="en-GB"/>
        </w:rPr>
        <w:t xml:space="preserve">ive Statistics </w:t>
      </w:r>
    </w:p>
    <w:p w14:paraId="5E5C48E7" w14:textId="4939A4A3" w:rsidR="00CD0D28" w:rsidRPr="007F78BA" w:rsidRDefault="00A501AF" w:rsidP="00BC00B5">
      <w:pPr>
        <w:spacing w:line="276" w:lineRule="auto"/>
        <w:ind w:firstLine="720"/>
        <w:jc w:val="both"/>
        <w:rPr>
          <w:rFonts w:ascii="Times New Roman" w:eastAsia="Times New Roman" w:hAnsi="Times New Roman" w:cs="Times New Roman"/>
          <w:lang w:val="en-GB"/>
        </w:rPr>
      </w:pPr>
      <w:r w:rsidRPr="007F78BA">
        <w:rPr>
          <w:rFonts w:ascii="Times New Roman" w:eastAsia="Times New Roman" w:hAnsi="Times New Roman" w:cs="Times New Roman"/>
          <w:lang w:val="en-GB"/>
        </w:rPr>
        <w:t xml:space="preserve">Table 1 presents the descriptive results for </w:t>
      </w:r>
      <w:r w:rsidR="009C1EB6">
        <w:rPr>
          <w:rFonts w:ascii="Times New Roman" w:eastAsia="Times New Roman" w:hAnsi="Times New Roman" w:cs="Times New Roman"/>
          <w:lang w:val="en-GB"/>
        </w:rPr>
        <w:t xml:space="preserve">the </w:t>
      </w:r>
      <w:r w:rsidRPr="007F78BA">
        <w:rPr>
          <w:rFonts w:ascii="Times New Roman" w:eastAsia="Times New Roman" w:hAnsi="Times New Roman" w:cs="Times New Roman"/>
          <w:lang w:val="en-GB"/>
        </w:rPr>
        <w:t xml:space="preserve">variables. </w:t>
      </w:r>
      <w:r w:rsidR="009842AB" w:rsidRPr="007F78BA">
        <w:rPr>
          <w:rFonts w:ascii="Times New Roman" w:eastAsia="Times New Roman" w:hAnsi="Times New Roman" w:cs="Times New Roman"/>
          <w:lang w:val="en-GB"/>
        </w:rPr>
        <w:t xml:space="preserve">The estimated prevalence for all variables differed by country (P&lt;0.001, except for </w:t>
      </w:r>
      <w:r w:rsidR="00E93EC1">
        <w:rPr>
          <w:rFonts w:ascii="Times New Roman" w:eastAsia="Times New Roman" w:hAnsi="Times New Roman" w:cs="Times New Roman"/>
          <w:lang w:val="en-GB"/>
        </w:rPr>
        <w:t>SUIS</w:t>
      </w:r>
      <w:r w:rsidR="009842AB" w:rsidRPr="007F78BA">
        <w:rPr>
          <w:rFonts w:ascii="Times New Roman" w:eastAsia="Times New Roman" w:hAnsi="Times New Roman" w:cs="Times New Roman"/>
          <w:lang w:val="en-GB"/>
        </w:rPr>
        <w:t xml:space="preserve"> (P=0.001) and GHB/L (P=0.005)).</w:t>
      </w:r>
      <w:r w:rsidRPr="007F78BA">
        <w:rPr>
          <w:rFonts w:ascii="Times New Roman" w:eastAsia="Times New Roman" w:hAnsi="Times New Roman" w:cs="Times New Roman"/>
          <w:lang w:val="en-GB"/>
        </w:rPr>
        <w:t xml:space="preserve"> O</w:t>
      </w:r>
      <w:r w:rsidR="0086268D" w:rsidRPr="007F78BA">
        <w:rPr>
          <w:rFonts w:ascii="Times New Roman" w:eastAsia="Times New Roman" w:hAnsi="Times New Roman" w:cs="Times New Roman"/>
          <w:lang w:val="en-GB"/>
        </w:rPr>
        <w:t>ut of 3,694 MSM in Spain</w:t>
      </w:r>
      <w:r w:rsidR="00CB233C">
        <w:rPr>
          <w:rFonts w:ascii="Times New Roman" w:eastAsia="Times New Roman" w:hAnsi="Times New Roman" w:cs="Times New Roman"/>
          <w:lang w:val="en-GB"/>
        </w:rPr>
        <w:t>,</w:t>
      </w:r>
      <w:r w:rsidR="0086268D" w:rsidRPr="007F78BA">
        <w:rPr>
          <w:rFonts w:ascii="Times New Roman" w:eastAsia="Times New Roman" w:hAnsi="Times New Roman" w:cs="Times New Roman"/>
          <w:lang w:val="en-GB"/>
        </w:rPr>
        <w:t xml:space="preserve"> 59.7% (</w:t>
      </w:r>
      <w:r w:rsidR="00CB233C">
        <w:rPr>
          <w:rFonts w:ascii="Times New Roman" w:eastAsia="Times New Roman" w:hAnsi="Times New Roman" w:cs="Times New Roman"/>
          <w:lang w:val="en-GB"/>
        </w:rPr>
        <w:t>n</w:t>
      </w:r>
      <w:r w:rsidR="0086268D" w:rsidRPr="007F78BA">
        <w:rPr>
          <w:rFonts w:ascii="Times New Roman" w:eastAsia="Times New Roman" w:hAnsi="Times New Roman" w:cs="Times New Roman"/>
          <w:lang w:val="en-GB"/>
        </w:rPr>
        <w:t xml:space="preserve">=2,205) reported </w:t>
      </w:r>
      <w:r w:rsidRPr="007F78BA">
        <w:rPr>
          <w:rFonts w:ascii="Times New Roman" w:eastAsia="Times New Roman" w:hAnsi="Times New Roman" w:cs="Times New Roman"/>
          <w:lang w:val="en-GB"/>
        </w:rPr>
        <w:t xml:space="preserve">no </w:t>
      </w:r>
      <w:r w:rsidR="0086268D" w:rsidRPr="007F78BA">
        <w:rPr>
          <w:rFonts w:ascii="Times New Roman" w:eastAsia="Times New Roman" w:hAnsi="Times New Roman" w:cs="Times New Roman"/>
          <w:lang w:val="en-GB"/>
        </w:rPr>
        <w:t>no</w:t>
      </w:r>
      <w:r w:rsidRPr="007F78BA">
        <w:rPr>
          <w:rFonts w:ascii="Times New Roman" w:eastAsia="Times New Roman" w:hAnsi="Times New Roman" w:cs="Times New Roman"/>
          <w:lang w:val="en-GB"/>
        </w:rPr>
        <w:t>n</w:t>
      </w:r>
      <w:r w:rsidR="0086268D" w:rsidRPr="007F78BA">
        <w:rPr>
          <w:rFonts w:ascii="Times New Roman" w:eastAsia="Times New Roman" w:hAnsi="Times New Roman" w:cs="Times New Roman"/>
          <w:lang w:val="en-GB"/>
        </w:rPr>
        <w:t>-steady partners that they had condomless sex with, while 0.5% (</w:t>
      </w:r>
      <w:r w:rsidR="00CB233C">
        <w:rPr>
          <w:rFonts w:ascii="Times New Roman" w:eastAsia="Times New Roman" w:hAnsi="Times New Roman" w:cs="Times New Roman"/>
          <w:lang w:val="en-GB"/>
        </w:rPr>
        <w:t>n</w:t>
      </w:r>
      <w:r w:rsidR="0086268D" w:rsidRPr="007F78BA">
        <w:rPr>
          <w:rFonts w:ascii="Times New Roman" w:eastAsia="Times New Roman" w:hAnsi="Times New Roman" w:cs="Times New Roman"/>
          <w:lang w:val="en-GB"/>
        </w:rPr>
        <w:t xml:space="preserve">=17) reported more than 50 partners in the last twelve months. </w:t>
      </w:r>
      <w:r w:rsidRPr="007F78BA">
        <w:rPr>
          <w:rFonts w:ascii="Times New Roman" w:eastAsia="Times New Roman" w:hAnsi="Times New Roman" w:cs="Times New Roman"/>
          <w:lang w:val="en-GB"/>
        </w:rPr>
        <w:t xml:space="preserve">In Turkey, </w:t>
      </w:r>
      <w:r w:rsidR="00CB233C">
        <w:rPr>
          <w:rFonts w:ascii="Times New Roman" w:eastAsia="Times New Roman" w:hAnsi="Times New Roman" w:cs="Times New Roman"/>
          <w:lang w:val="en-GB"/>
        </w:rPr>
        <w:t xml:space="preserve">about </w:t>
      </w:r>
      <w:r w:rsidRPr="007F78BA">
        <w:rPr>
          <w:rFonts w:ascii="Times New Roman" w:eastAsia="Times New Roman" w:hAnsi="Times New Roman" w:cs="Times New Roman"/>
          <w:lang w:val="en-GB"/>
        </w:rPr>
        <w:t xml:space="preserve">half of </w:t>
      </w:r>
      <w:r w:rsidR="00CB233C">
        <w:rPr>
          <w:rFonts w:ascii="Times New Roman" w:eastAsia="Times New Roman" w:hAnsi="Times New Roman" w:cs="Times New Roman"/>
          <w:lang w:val="en-GB"/>
        </w:rPr>
        <w:t xml:space="preserve">the </w:t>
      </w:r>
      <w:r w:rsidRPr="007F78BA">
        <w:rPr>
          <w:rFonts w:ascii="Times New Roman" w:eastAsia="Times New Roman" w:hAnsi="Times New Roman" w:cs="Times New Roman"/>
          <w:lang w:val="en-GB"/>
        </w:rPr>
        <w:t>616 MSM reported no non-steady partners that they had condomless sex with</w:t>
      </w:r>
      <w:r w:rsidR="00CB233C">
        <w:rPr>
          <w:rFonts w:ascii="Times New Roman" w:eastAsia="Times New Roman" w:hAnsi="Times New Roman" w:cs="Times New Roman"/>
          <w:lang w:val="en-GB"/>
        </w:rPr>
        <w:t>,</w:t>
      </w:r>
      <w:r w:rsidRPr="007F78BA">
        <w:rPr>
          <w:rFonts w:ascii="Times New Roman" w:eastAsia="Times New Roman" w:hAnsi="Times New Roman" w:cs="Times New Roman"/>
          <w:lang w:val="en-GB"/>
        </w:rPr>
        <w:t xml:space="preserve"> while only </w:t>
      </w:r>
      <w:r w:rsidR="00CB233C">
        <w:rPr>
          <w:rFonts w:ascii="Times New Roman" w:eastAsia="Times New Roman" w:hAnsi="Times New Roman" w:cs="Times New Roman"/>
          <w:lang w:val="en-GB"/>
        </w:rPr>
        <w:t>two</w:t>
      </w:r>
      <w:r w:rsidRPr="007F78BA">
        <w:rPr>
          <w:rFonts w:ascii="Times New Roman" w:eastAsia="Times New Roman" w:hAnsi="Times New Roman" w:cs="Times New Roman"/>
          <w:lang w:val="en-GB"/>
        </w:rPr>
        <w:t xml:space="preserve"> respondents reported having more than 50 partners in the last twelve months. </w:t>
      </w:r>
      <w:r w:rsidR="00B67190" w:rsidRPr="007F78BA">
        <w:rPr>
          <w:rFonts w:ascii="Times New Roman" w:eastAsia="Times New Roman" w:hAnsi="Times New Roman" w:cs="Times New Roman"/>
          <w:lang w:val="en-GB"/>
        </w:rPr>
        <w:t>MSM in Turkey had higher IH score overall (2.</w:t>
      </w:r>
      <w:r w:rsidR="00E66CFF">
        <w:rPr>
          <w:rFonts w:ascii="Times New Roman" w:eastAsia="Times New Roman" w:hAnsi="Times New Roman" w:cs="Times New Roman"/>
          <w:lang w:val="en-GB"/>
        </w:rPr>
        <w:t>4</w:t>
      </w:r>
      <w:r w:rsidR="00B67190" w:rsidRPr="007F78BA">
        <w:rPr>
          <w:rFonts w:ascii="Times New Roman" w:eastAsia="Times New Roman" w:hAnsi="Times New Roman" w:cs="Times New Roman"/>
          <w:lang w:val="en-GB"/>
        </w:rPr>
        <w:t xml:space="preserve"> </w:t>
      </w:r>
      <w:r w:rsidR="00703D3C">
        <w:rPr>
          <w:rFonts w:ascii="Times New Roman" w:eastAsia="Times New Roman" w:hAnsi="Times New Roman" w:cs="Times New Roman"/>
          <w:lang w:val="en-GB"/>
        </w:rPr>
        <w:t>vs.</w:t>
      </w:r>
      <w:r w:rsidR="00B67190" w:rsidRPr="007F78BA">
        <w:rPr>
          <w:rFonts w:ascii="Times New Roman" w:eastAsia="Times New Roman" w:hAnsi="Times New Roman" w:cs="Times New Roman"/>
          <w:lang w:val="en-GB"/>
        </w:rPr>
        <w:t xml:space="preserve"> 1.3</w:t>
      </w:r>
      <w:r w:rsidR="00E66CFF">
        <w:rPr>
          <w:rFonts w:ascii="Times New Roman" w:eastAsia="Times New Roman" w:hAnsi="Times New Roman" w:cs="Times New Roman"/>
          <w:lang w:val="en-GB"/>
        </w:rPr>
        <w:t xml:space="preserve"> </w:t>
      </w:r>
      <w:r w:rsidR="00B67190" w:rsidRPr="007F78BA">
        <w:rPr>
          <w:rFonts w:ascii="Times New Roman" w:eastAsia="Times New Roman" w:hAnsi="Times New Roman" w:cs="Times New Roman"/>
          <w:lang w:val="en-GB"/>
        </w:rPr>
        <w:t xml:space="preserve">in Spain). </w:t>
      </w:r>
      <w:r w:rsidR="0086268D" w:rsidRPr="007F78BA">
        <w:rPr>
          <w:rFonts w:ascii="Times New Roman" w:eastAsia="Times New Roman" w:hAnsi="Times New Roman" w:cs="Times New Roman"/>
          <w:lang w:val="en-GB"/>
        </w:rPr>
        <w:t>In the HIV/</w:t>
      </w:r>
      <w:proofErr w:type="spellStart"/>
      <w:r w:rsidR="0086268D" w:rsidRPr="007F78BA">
        <w:rPr>
          <w:rFonts w:ascii="Times New Roman" w:eastAsia="Times New Roman" w:hAnsi="Times New Roman" w:cs="Times New Roman"/>
          <w:lang w:val="en-GB"/>
        </w:rPr>
        <w:t>PrEP</w:t>
      </w:r>
      <w:proofErr w:type="spellEnd"/>
      <w:r w:rsidR="0086268D" w:rsidRPr="007F78BA">
        <w:rPr>
          <w:rFonts w:ascii="Times New Roman" w:eastAsia="Times New Roman" w:hAnsi="Times New Roman" w:cs="Times New Roman"/>
          <w:lang w:val="en-GB"/>
        </w:rPr>
        <w:t xml:space="preserve"> additive scale, </w:t>
      </w:r>
      <w:proofErr w:type="spellStart"/>
      <w:r w:rsidR="00B67190" w:rsidRPr="007F78BA">
        <w:rPr>
          <w:rFonts w:ascii="Times New Roman" w:eastAsia="Times New Roman" w:hAnsi="Times New Roman" w:cs="Times New Roman"/>
          <w:lang w:val="en-GB"/>
        </w:rPr>
        <w:t>MSM</w:t>
      </w:r>
      <w:proofErr w:type="spellEnd"/>
      <w:r w:rsidR="00B67190" w:rsidRPr="007F78BA">
        <w:rPr>
          <w:rFonts w:ascii="Times New Roman" w:eastAsia="Times New Roman" w:hAnsi="Times New Roman" w:cs="Times New Roman"/>
          <w:lang w:val="en-GB"/>
        </w:rPr>
        <w:t xml:space="preserve"> in Spain had an overall score of 7.14, while MSM in Turkey scored 6.0. </w:t>
      </w:r>
      <w:r w:rsidR="0086268D" w:rsidRPr="007F78BA">
        <w:rPr>
          <w:rFonts w:ascii="Times New Roman" w:eastAsia="Times New Roman" w:hAnsi="Times New Roman" w:cs="Times New Roman"/>
          <w:lang w:val="en-GB"/>
        </w:rPr>
        <w:t xml:space="preserve">Almost half of respondents </w:t>
      </w:r>
      <w:r w:rsidR="00B67190" w:rsidRPr="007F78BA">
        <w:rPr>
          <w:rFonts w:ascii="Times New Roman" w:eastAsia="Times New Roman" w:hAnsi="Times New Roman" w:cs="Times New Roman"/>
          <w:lang w:val="en-GB"/>
        </w:rPr>
        <w:t xml:space="preserve">in both Spain and Turkey </w:t>
      </w:r>
      <w:r w:rsidR="0086268D" w:rsidRPr="007F78BA">
        <w:rPr>
          <w:rFonts w:ascii="Times New Roman" w:eastAsia="Times New Roman" w:hAnsi="Times New Roman" w:cs="Times New Roman"/>
          <w:lang w:val="en-GB"/>
        </w:rPr>
        <w:t xml:space="preserve">(46.2%, </w:t>
      </w:r>
      <w:r w:rsidR="00CB233C">
        <w:rPr>
          <w:rFonts w:ascii="Times New Roman" w:eastAsia="Times New Roman" w:hAnsi="Times New Roman" w:cs="Times New Roman"/>
          <w:lang w:val="en-GB"/>
        </w:rPr>
        <w:t>n</w:t>
      </w:r>
      <w:r w:rsidR="0086268D" w:rsidRPr="007F78BA">
        <w:rPr>
          <w:rFonts w:ascii="Times New Roman" w:eastAsia="Times New Roman" w:hAnsi="Times New Roman" w:cs="Times New Roman"/>
          <w:lang w:val="en-GB"/>
        </w:rPr>
        <w:t>=1,717</w:t>
      </w:r>
      <w:r w:rsidR="00B67190" w:rsidRPr="007F78BA">
        <w:rPr>
          <w:rFonts w:ascii="Times New Roman" w:eastAsia="Times New Roman" w:hAnsi="Times New Roman" w:cs="Times New Roman"/>
          <w:lang w:val="en-GB"/>
        </w:rPr>
        <w:t xml:space="preserve">; 42.7%, </w:t>
      </w:r>
      <w:r w:rsidR="00CB233C">
        <w:rPr>
          <w:rFonts w:ascii="Times New Roman" w:eastAsia="Times New Roman" w:hAnsi="Times New Roman" w:cs="Times New Roman"/>
          <w:lang w:val="en-GB"/>
        </w:rPr>
        <w:t>n</w:t>
      </w:r>
      <w:r w:rsidR="00B67190" w:rsidRPr="007F78BA">
        <w:rPr>
          <w:rFonts w:ascii="Times New Roman" w:eastAsia="Times New Roman" w:hAnsi="Times New Roman" w:cs="Times New Roman"/>
          <w:lang w:val="en-GB"/>
        </w:rPr>
        <w:t>=261, respectively</w:t>
      </w:r>
      <w:r w:rsidR="0086268D" w:rsidRPr="007F78BA">
        <w:rPr>
          <w:rFonts w:ascii="Times New Roman" w:eastAsia="Times New Roman" w:hAnsi="Times New Roman" w:cs="Times New Roman"/>
          <w:lang w:val="en-GB"/>
        </w:rPr>
        <w:t xml:space="preserve">) reported </w:t>
      </w:r>
      <w:r w:rsidR="00CB233C">
        <w:rPr>
          <w:rFonts w:ascii="Times New Roman" w:eastAsia="Times New Roman" w:hAnsi="Times New Roman" w:cs="Times New Roman"/>
          <w:lang w:val="en-GB"/>
        </w:rPr>
        <w:t>no SUIS</w:t>
      </w:r>
      <w:r w:rsidR="0086268D" w:rsidRPr="007F78BA">
        <w:rPr>
          <w:rFonts w:ascii="Times New Roman" w:eastAsia="Times New Roman" w:hAnsi="Times New Roman" w:cs="Times New Roman"/>
          <w:lang w:val="en-GB"/>
        </w:rPr>
        <w:t xml:space="preserve"> in the last twelve months, while a small portion reported all of it (</w:t>
      </w:r>
      <w:r w:rsidR="00B67190" w:rsidRPr="007F78BA">
        <w:rPr>
          <w:rFonts w:ascii="Times New Roman" w:eastAsia="Times New Roman" w:hAnsi="Times New Roman" w:cs="Times New Roman"/>
          <w:lang w:val="en-GB"/>
        </w:rPr>
        <w:t>1.5</w:t>
      </w:r>
      <w:r w:rsidR="0086268D" w:rsidRPr="007F78BA">
        <w:rPr>
          <w:rFonts w:ascii="Times New Roman" w:eastAsia="Times New Roman" w:hAnsi="Times New Roman" w:cs="Times New Roman"/>
          <w:lang w:val="en-GB"/>
        </w:rPr>
        <w:t xml:space="preserve">%, </w:t>
      </w:r>
      <w:r w:rsidR="00CB233C">
        <w:rPr>
          <w:rFonts w:ascii="Times New Roman" w:eastAsia="Times New Roman" w:hAnsi="Times New Roman" w:cs="Times New Roman"/>
          <w:lang w:val="en-GB"/>
        </w:rPr>
        <w:t>n</w:t>
      </w:r>
      <w:r w:rsidR="0086268D" w:rsidRPr="007F78BA">
        <w:rPr>
          <w:rFonts w:ascii="Times New Roman" w:eastAsia="Times New Roman" w:hAnsi="Times New Roman" w:cs="Times New Roman"/>
          <w:lang w:val="en-GB"/>
        </w:rPr>
        <w:t>=</w:t>
      </w:r>
      <w:r w:rsidR="00B67190" w:rsidRPr="007F78BA">
        <w:rPr>
          <w:rFonts w:ascii="Times New Roman" w:eastAsia="Times New Roman" w:hAnsi="Times New Roman" w:cs="Times New Roman"/>
          <w:lang w:val="en-GB"/>
        </w:rPr>
        <w:t xml:space="preserve">57; 1.1%, </w:t>
      </w:r>
      <w:r w:rsidR="00CB233C">
        <w:rPr>
          <w:rFonts w:ascii="Times New Roman" w:eastAsia="Times New Roman" w:hAnsi="Times New Roman" w:cs="Times New Roman"/>
          <w:lang w:val="en-GB"/>
        </w:rPr>
        <w:t>n</w:t>
      </w:r>
      <w:r w:rsidR="00B67190" w:rsidRPr="007F78BA">
        <w:rPr>
          <w:rFonts w:ascii="Times New Roman" w:eastAsia="Times New Roman" w:hAnsi="Times New Roman" w:cs="Times New Roman"/>
          <w:lang w:val="en-GB"/>
        </w:rPr>
        <w:t>=7</w:t>
      </w:r>
      <w:r w:rsidR="00A73CE5" w:rsidRPr="007F78BA">
        <w:rPr>
          <w:rFonts w:ascii="Times New Roman" w:eastAsia="Times New Roman" w:hAnsi="Times New Roman" w:cs="Times New Roman"/>
          <w:lang w:val="en-GB"/>
        </w:rPr>
        <w:t>, respectively</w:t>
      </w:r>
      <w:r w:rsidR="0086268D" w:rsidRPr="007F78BA">
        <w:rPr>
          <w:rFonts w:ascii="Times New Roman" w:eastAsia="Times New Roman" w:hAnsi="Times New Roman" w:cs="Times New Roman"/>
          <w:lang w:val="en-GB"/>
        </w:rPr>
        <w:t>).</w:t>
      </w:r>
    </w:p>
    <w:p w14:paraId="20047218" w14:textId="77777777" w:rsidR="00FF15F1" w:rsidRPr="007F78BA" w:rsidRDefault="00FF15F1" w:rsidP="00CD0D28">
      <w:pPr>
        <w:rPr>
          <w:lang w:val="en-GB"/>
        </w:rPr>
      </w:pPr>
    </w:p>
    <w:p w14:paraId="6DEC570D" w14:textId="0480D1B8" w:rsidR="00CD0D28" w:rsidRPr="007F78BA" w:rsidRDefault="00CD0D28" w:rsidP="00CD0D28">
      <w:pPr>
        <w:rPr>
          <w:rFonts w:ascii="Times New Roman" w:hAnsi="Times New Roman" w:cs="Times New Roman"/>
          <w:lang w:val="en-GB"/>
        </w:rPr>
      </w:pPr>
      <w:r w:rsidRPr="007F78BA">
        <w:rPr>
          <w:rFonts w:ascii="Times New Roman" w:hAnsi="Times New Roman" w:cs="Times New Roman"/>
          <w:b/>
          <w:lang w:val="en-GB"/>
        </w:rPr>
        <w:t>Table 1.</w:t>
      </w:r>
      <w:r w:rsidRPr="007F78BA">
        <w:rPr>
          <w:rFonts w:ascii="Times New Roman" w:hAnsi="Times New Roman" w:cs="Times New Roman"/>
          <w:lang w:val="en-GB"/>
        </w:rPr>
        <w:t xml:space="preserve"> Summary Statistics of Variables</w:t>
      </w:r>
      <w:r w:rsidR="00CB233C">
        <w:rPr>
          <w:rFonts w:ascii="Times New Roman" w:hAnsi="Times New Roman" w:cs="Times New Roman"/>
          <w:lang w:val="en-GB"/>
        </w:rPr>
        <w:t>,</w:t>
      </w:r>
      <w:r w:rsidRPr="007F78BA">
        <w:rPr>
          <w:rFonts w:ascii="Times New Roman" w:hAnsi="Times New Roman" w:cs="Times New Roman"/>
          <w:lang w:val="en-GB"/>
        </w:rPr>
        <w:t xml:space="preserve"> by Country </w:t>
      </w:r>
    </w:p>
    <w:tbl>
      <w:tblPr>
        <w:tblW w:w="0" w:type="auto"/>
        <w:jc w:val="center"/>
        <w:tblLayout w:type="fixed"/>
        <w:tblLook w:val="0000" w:firstRow="0" w:lastRow="0" w:firstColumn="0" w:lastColumn="0" w:noHBand="0" w:noVBand="0"/>
      </w:tblPr>
      <w:tblGrid>
        <w:gridCol w:w="2429"/>
        <w:gridCol w:w="832"/>
        <w:gridCol w:w="1842"/>
        <w:gridCol w:w="398"/>
        <w:gridCol w:w="878"/>
        <w:gridCol w:w="1843"/>
      </w:tblGrid>
      <w:tr w:rsidR="00CD0D28" w:rsidRPr="007F78BA" w14:paraId="14EBF153" w14:textId="77777777" w:rsidTr="002A5CF5">
        <w:trPr>
          <w:trHeight w:val="149"/>
          <w:jc w:val="center"/>
        </w:trPr>
        <w:tc>
          <w:tcPr>
            <w:tcW w:w="2429" w:type="dxa"/>
            <w:tcBorders>
              <w:top w:val="single" w:sz="4" w:space="0" w:color="auto"/>
              <w:left w:val="nil"/>
              <w:bottom w:val="single" w:sz="10" w:space="0" w:color="auto"/>
              <w:right w:val="nil"/>
            </w:tcBorders>
          </w:tcPr>
          <w:p w14:paraId="1ED48B01"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p>
        </w:tc>
        <w:tc>
          <w:tcPr>
            <w:tcW w:w="3072" w:type="dxa"/>
            <w:gridSpan w:val="3"/>
            <w:tcBorders>
              <w:top w:val="single" w:sz="4" w:space="0" w:color="auto"/>
              <w:left w:val="nil"/>
              <w:bottom w:val="single" w:sz="10" w:space="0" w:color="auto"/>
              <w:right w:val="nil"/>
            </w:tcBorders>
          </w:tcPr>
          <w:p w14:paraId="5AE573D0" w14:textId="77777777" w:rsidR="00CD0D28" w:rsidRPr="007F78BA" w:rsidRDefault="00CD0D28" w:rsidP="002A5CF5">
            <w:pPr>
              <w:widowControl w:val="0"/>
              <w:autoSpaceDE w:val="0"/>
              <w:autoSpaceDN w:val="0"/>
              <w:adjustRightInd w:val="0"/>
              <w:jc w:val="center"/>
              <w:rPr>
                <w:rFonts w:ascii="Times New Roman" w:hAnsi="Times New Roman" w:cs="Times New Roman"/>
                <w:sz w:val="20"/>
                <w:szCs w:val="20"/>
                <w:lang w:val="en-GB"/>
              </w:rPr>
            </w:pPr>
            <w:r w:rsidRPr="007F78BA">
              <w:rPr>
                <w:rFonts w:ascii="Times New Roman" w:hAnsi="Times New Roman" w:cs="Times New Roman"/>
                <w:sz w:val="20"/>
                <w:szCs w:val="20"/>
                <w:lang w:val="en-GB"/>
              </w:rPr>
              <w:t>Spain</w:t>
            </w:r>
          </w:p>
        </w:tc>
        <w:tc>
          <w:tcPr>
            <w:tcW w:w="2721" w:type="dxa"/>
            <w:gridSpan w:val="2"/>
            <w:tcBorders>
              <w:top w:val="single" w:sz="4" w:space="0" w:color="auto"/>
              <w:left w:val="nil"/>
              <w:bottom w:val="single" w:sz="10" w:space="0" w:color="auto"/>
              <w:right w:val="nil"/>
            </w:tcBorders>
          </w:tcPr>
          <w:p w14:paraId="2F98D339" w14:textId="77777777" w:rsidR="00CD0D28" w:rsidRPr="007F78BA" w:rsidRDefault="00CD0D28" w:rsidP="002A5CF5">
            <w:pPr>
              <w:widowControl w:val="0"/>
              <w:autoSpaceDE w:val="0"/>
              <w:autoSpaceDN w:val="0"/>
              <w:adjustRightInd w:val="0"/>
              <w:jc w:val="center"/>
              <w:rPr>
                <w:rFonts w:ascii="Times New Roman" w:hAnsi="Times New Roman" w:cs="Times New Roman"/>
                <w:sz w:val="20"/>
                <w:szCs w:val="20"/>
                <w:lang w:val="en-GB"/>
              </w:rPr>
            </w:pPr>
            <w:r w:rsidRPr="007F78BA">
              <w:rPr>
                <w:rFonts w:ascii="Times New Roman" w:hAnsi="Times New Roman" w:cs="Times New Roman"/>
                <w:sz w:val="20"/>
                <w:szCs w:val="20"/>
                <w:lang w:val="en-GB"/>
              </w:rPr>
              <w:t>Turkey</w:t>
            </w:r>
          </w:p>
        </w:tc>
      </w:tr>
      <w:tr w:rsidR="00CD0D28" w:rsidRPr="007F78BA" w14:paraId="7B6EE8E0" w14:textId="77777777" w:rsidTr="002A5CF5">
        <w:trPr>
          <w:trHeight w:val="149"/>
          <w:jc w:val="center"/>
        </w:trPr>
        <w:tc>
          <w:tcPr>
            <w:tcW w:w="2429" w:type="dxa"/>
            <w:tcBorders>
              <w:top w:val="single" w:sz="4" w:space="0" w:color="auto"/>
              <w:left w:val="nil"/>
              <w:bottom w:val="single" w:sz="10" w:space="0" w:color="auto"/>
              <w:right w:val="nil"/>
            </w:tcBorders>
          </w:tcPr>
          <w:p w14:paraId="3A95B8CC"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 xml:space="preserve">  </w:t>
            </w:r>
          </w:p>
        </w:tc>
        <w:tc>
          <w:tcPr>
            <w:tcW w:w="832" w:type="dxa"/>
            <w:tcBorders>
              <w:top w:val="single" w:sz="4" w:space="0" w:color="auto"/>
              <w:left w:val="nil"/>
              <w:bottom w:val="single" w:sz="10" w:space="0" w:color="auto"/>
              <w:right w:val="nil"/>
            </w:tcBorders>
          </w:tcPr>
          <w:p w14:paraId="1CDF3411"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 xml:space="preserve">  N</w:t>
            </w:r>
          </w:p>
        </w:tc>
        <w:tc>
          <w:tcPr>
            <w:tcW w:w="1842" w:type="dxa"/>
            <w:tcBorders>
              <w:top w:val="single" w:sz="4" w:space="0" w:color="auto"/>
              <w:left w:val="nil"/>
              <w:bottom w:val="single" w:sz="10" w:space="0" w:color="auto"/>
              <w:right w:val="nil"/>
            </w:tcBorders>
          </w:tcPr>
          <w:p w14:paraId="39DD2E5E"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 xml:space="preserve"> Percent</w:t>
            </w:r>
          </w:p>
          <w:p w14:paraId="75489CD8" w14:textId="77777777" w:rsidR="00CD0D28" w:rsidRPr="007F78BA" w:rsidRDefault="00CD0D28" w:rsidP="002A5CF5">
            <w:pPr>
              <w:widowControl w:val="0"/>
              <w:autoSpaceDE w:val="0"/>
              <w:autoSpaceDN w:val="0"/>
              <w:adjustRightInd w:val="0"/>
              <w:jc w:val="right"/>
              <w:rPr>
                <w:rFonts w:ascii="Times New Roman" w:hAnsi="Times New Roman" w:cs="Times New Roman"/>
                <w:i/>
                <w:sz w:val="20"/>
                <w:szCs w:val="20"/>
                <w:lang w:val="en-GB"/>
              </w:rPr>
            </w:pPr>
            <w:r w:rsidRPr="007F78BA">
              <w:rPr>
                <w:rFonts w:ascii="Times New Roman" w:hAnsi="Times New Roman" w:cs="Times New Roman"/>
                <w:sz w:val="20"/>
                <w:szCs w:val="20"/>
                <w:lang w:val="en-GB"/>
              </w:rPr>
              <w:t>(</w:t>
            </w:r>
            <w:proofErr w:type="gramStart"/>
            <w:r w:rsidRPr="007F78BA">
              <w:rPr>
                <w:rFonts w:ascii="Times New Roman" w:hAnsi="Times New Roman" w:cs="Times New Roman"/>
                <w:b/>
                <w:sz w:val="20"/>
                <w:szCs w:val="20"/>
                <w:lang w:val="en-GB"/>
              </w:rPr>
              <w:t>mean</w:t>
            </w:r>
            <w:proofErr w:type="gramEnd"/>
            <w:r w:rsidRPr="007F78BA">
              <w:rPr>
                <w:rFonts w:ascii="Times New Roman" w:hAnsi="Times New Roman" w:cs="Times New Roman"/>
                <w:b/>
                <w:sz w:val="20"/>
                <w:szCs w:val="20"/>
                <w:lang w:val="en-GB"/>
              </w:rPr>
              <w:t xml:space="preserve"> – </w:t>
            </w:r>
            <w:r w:rsidRPr="007F78BA">
              <w:rPr>
                <w:rFonts w:ascii="Times New Roman" w:hAnsi="Times New Roman" w:cs="Times New Roman"/>
                <w:b/>
                <w:i/>
                <w:sz w:val="20"/>
                <w:szCs w:val="20"/>
                <w:lang w:val="en-GB"/>
              </w:rPr>
              <w:t>median</w:t>
            </w:r>
            <w:r w:rsidRPr="007F78BA">
              <w:rPr>
                <w:rFonts w:ascii="Times New Roman" w:hAnsi="Times New Roman" w:cs="Times New Roman"/>
                <w:i/>
                <w:sz w:val="20"/>
                <w:szCs w:val="20"/>
                <w:lang w:val="en-GB"/>
              </w:rPr>
              <w:t>)</w:t>
            </w:r>
          </w:p>
        </w:tc>
        <w:tc>
          <w:tcPr>
            <w:tcW w:w="1276" w:type="dxa"/>
            <w:gridSpan w:val="2"/>
            <w:tcBorders>
              <w:top w:val="single" w:sz="4" w:space="0" w:color="auto"/>
              <w:left w:val="nil"/>
              <w:bottom w:val="single" w:sz="10" w:space="0" w:color="auto"/>
              <w:right w:val="nil"/>
            </w:tcBorders>
          </w:tcPr>
          <w:p w14:paraId="7DB5FC5B"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N</w:t>
            </w:r>
          </w:p>
        </w:tc>
        <w:tc>
          <w:tcPr>
            <w:tcW w:w="1843" w:type="dxa"/>
            <w:tcBorders>
              <w:top w:val="single" w:sz="4" w:space="0" w:color="auto"/>
              <w:left w:val="nil"/>
              <w:bottom w:val="single" w:sz="10" w:space="0" w:color="auto"/>
              <w:right w:val="nil"/>
            </w:tcBorders>
          </w:tcPr>
          <w:p w14:paraId="499F32DB" w14:textId="495A5B35"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 xml:space="preserve">Percent </w:t>
            </w:r>
            <w:r w:rsidR="00E95790">
              <w:rPr>
                <w:rFonts w:ascii="Times New Roman" w:hAnsi="Times New Roman" w:cs="Times New Roman"/>
                <w:sz w:val="20"/>
                <w:szCs w:val="20"/>
                <w:lang w:val="en-GB"/>
              </w:rPr>
              <w:br/>
            </w:r>
            <w:r w:rsidRPr="007F78BA">
              <w:rPr>
                <w:rFonts w:ascii="Times New Roman" w:hAnsi="Times New Roman" w:cs="Times New Roman"/>
                <w:sz w:val="20"/>
                <w:szCs w:val="20"/>
                <w:lang w:val="en-GB"/>
              </w:rPr>
              <w:t>(</w:t>
            </w:r>
            <w:r w:rsidRPr="007F78BA">
              <w:rPr>
                <w:rFonts w:ascii="Times New Roman" w:hAnsi="Times New Roman" w:cs="Times New Roman"/>
                <w:b/>
                <w:sz w:val="20"/>
                <w:szCs w:val="20"/>
                <w:lang w:val="en-GB"/>
              </w:rPr>
              <w:t xml:space="preserve">mean – </w:t>
            </w:r>
            <w:r w:rsidRPr="007F78BA">
              <w:rPr>
                <w:rFonts w:ascii="Times New Roman" w:hAnsi="Times New Roman" w:cs="Times New Roman"/>
                <w:b/>
                <w:i/>
                <w:sz w:val="20"/>
                <w:szCs w:val="20"/>
                <w:lang w:val="en-GB"/>
              </w:rPr>
              <w:t>median</w:t>
            </w:r>
            <w:r w:rsidRPr="007F78BA">
              <w:rPr>
                <w:rFonts w:ascii="Times New Roman" w:hAnsi="Times New Roman" w:cs="Times New Roman"/>
                <w:i/>
                <w:sz w:val="20"/>
                <w:szCs w:val="20"/>
                <w:lang w:val="en-GB"/>
              </w:rPr>
              <w:t>)</w:t>
            </w:r>
          </w:p>
        </w:tc>
      </w:tr>
      <w:tr w:rsidR="00CD0D28" w:rsidRPr="007F78BA" w14:paraId="7B5B961A" w14:textId="77777777" w:rsidTr="002A5CF5">
        <w:trPr>
          <w:trHeight w:val="275"/>
          <w:jc w:val="center"/>
        </w:trPr>
        <w:tc>
          <w:tcPr>
            <w:tcW w:w="2429" w:type="dxa"/>
            <w:tcBorders>
              <w:top w:val="nil"/>
              <w:left w:val="nil"/>
              <w:bottom w:val="nil"/>
              <w:right w:val="nil"/>
            </w:tcBorders>
          </w:tcPr>
          <w:p w14:paraId="68E8DA1A" w14:textId="77777777" w:rsidR="00CD0D28" w:rsidRPr="007F78BA" w:rsidRDefault="00CD0D28" w:rsidP="002A5CF5">
            <w:pPr>
              <w:widowControl w:val="0"/>
              <w:autoSpaceDE w:val="0"/>
              <w:autoSpaceDN w:val="0"/>
              <w:adjustRightInd w:val="0"/>
              <w:rPr>
                <w:rFonts w:ascii="Times New Roman" w:hAnsi="Times New Roman" w:cs="Times New Roman"/>
                <w:b/>
                <w:i/>
                <w:sz w:val="20"/>
                <w:szCs w:val="20"/>
                <w:lang w:val="en-GB"/>
              </w:rPr>
            </w:pPr>
            <w:r w:rsidRPr="007F78BA">
              <w:rPr>
                <w:rFonts w:ascii="Times New Roman" w:hAnsi="Times New Roman" w:cs="Times New Roman"/>
                <w:b/>
                <w:i/>
                <w:sz w:val="20"/>
                <w:szCs w:val="20"/>
                <w:lang w:val="en-GB"/>
              </w:rPr>
              <w:t>Variable</w:t>
            </w:r>
          </w:p>
        </w:tc>
        <w:tc>
          <w:tcPr>
            <w:tcW w:w="832" w:type="dxa"/>
            <w:tcBorders>
              <w:top w:val="nil"/>
              <w:left w:val="nil"/>
              <w:bottom w:val="nil"/>
              <w:right w:val="nil"/>
            </w:tcBorders>
          </w:tcPr>
          <w:p w14:paraId="4803F3AF" w14:textId="77777777" w:rsidR="00CD0D28" w:rsidRPr="007F78BA" w:rsidRDefault="00CD0D28" w:rsidP="002A5CF5">
            <w:pPr>
              <w:widowControl w:val="0"/>
              <w:autoSpaceDE w:val="0"/>
              <w:autoSpaceDN w:val="0"/>
              <w:adjustRightInd w:val="0"/>
              <w:jc w:val="right"/>
              <w:rPr>
                <w:rFonts w:ascii="Times New Roman" w:hAnsi="Times New Roman" w:cs="Times New Roman"/>
                <w:b/>
                <w:sz w:val="20"/>
                <w:szCs w:val="20"/>
                <w:lang w:val="en-GB"/>
              </w:rPr>
            </w:pPr>
          </w:p>
        </w:tc>
        <w:tc>
          <w:tcPr>
            <w:tcW w:w="1842" w:type="dxa"/>
            <w:tcBorders>
              <w:top w:val="nil"/>
              <w:left w:val="nil"/>
              <w:bottom w:val="nil"/>
              <w:right w:val="nil"/>
            </w:tcBorders>
          </w:tcPr>
          <w:p w14:paraId="5AA84B0D"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p>
        </w:tc>
        <w:tc>
          <w:tcPr>
            <w:tcW w:w="1276" w:type="dxa"/>
            <w:gridSpan w:val="2"/>
            <w:tcBorders>
              <w:top w:val="nil"/>
              <w:left w:val="nil"/>
              <w:bottom w:val="nil"/>
              <w:right w:val="nil"/>
            </w:tcBorders>
          </w:tcPr>
          <w:p w14:paraId="055420B2"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p>
        </w:tc>
        <w:tc>
          <w:tcPr>
            <w:tcW w:w="1843" w:type="dxa"/>
            <w:tcBorders>
              <w:top w:val="nil"/>
              <w:left w:val="nil"/>
              <w:bottom w:val="nil"/>
              <w:right w:val="nil"/>
            </w:tcBorders>
          </w:tcPr>
          <w:p w14:paraId="07770085"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p>
        </w:tc>
      </w:tr>
      <w:tr w:rsidR="00CD0D28" w:rsidRPr="007F78BA" w14:paraId="0A4E5BB7" w14:textId="77777777" w:rsidTr="002A5CF5">
        <w:trPr>
          <w:trHeight w:val="297"/>
          <w:jc w:val="center"/>
        </w:trPr>
        <w:tc>
          <w:tcPr>
            <w:tcW w:w="2429" w:type="dxa"/>
            <w:tcBorders>
              <w:top w:val="nil"/>
              <w:left w:val="nil"/>
              <w:bottom w:val="nil"/>
              <w:right w:val="nil"/>
            </w:tcBorders>
          </w:tcPr>
          <w:p w14:paraId="039A4E99" w14:textId="77777777" w:rsidR="00CD0D28" w:rsidRPr="007F78BA" w:rsidRDefault="00CD0D28" w:rsidP="002A5CF5">
            <w:pPr>
              <w:widowControl w:val="0"/>
              <w:autoSpaceDE w:val="0"/>
              <w:autoSpaceDN w:val="0"/>
              <w:adjustRightInd w:val="0"/>
              <w:rPr>
                <w:rFonts w:ascii="Times New Roman" w:hAnsi="Times New Roman" w:cs="Times New Roman"/>
                <w:b/>
                <w:sz w:val="20"/>
                <w:szCs w:val="20"/>
                <w:lang w:val="en-GB"/>
              </w:rPr>
            </w:pPr>
            <w:r w:rsidRPr="007F78BA">
              <w:rPr>
                <w:rFonts w:ascii="Times New Roman" w:hAnsi="Times New Roman" w:cs="Times New Roman"/>
                <w:b/>
                <w:sz w:val="20"/>
                <w:szCs w:val="20"/>
                <w:lang w:val="en-GB"/>
              </w:rPr>
              <w:t xml:space="preserve">Number of condomless non-steady partners (SRB) </w:t>
            </w:r>
          </w:p>
        </w:tc>
        <w:tc>
          <w:tcPr>
            <w:tcW w:w="832" w:type="dxa"/>
            <w:tcBorders>
              <w:top w:val="nil"/>
              <w:left w:val="nil"/>
              <w:bottom w:val="nil"/>
              <w:right w:val="nil"/>
            </w:tcBorders>
          </w:tcPr>
          <w:p w14:paraId="51C5ED77"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3,694</w:t>
            </w:r>
          </w:p>
        </w:tc>
        <w:tc>
          <w:tcPr>
            <w:tcW w:w="1842" w:type="dxa"/>
            <w:tcBorders>
              <w:top w:val="nil"/>
              <w:left w:val="nil"/>
              <w:bottom w:val="nil"/>
              <w:right w:val="nil"/>
            </w:tcBorders>
          </w:tcPr>
          <w:p w14:paraId="3133DCAD"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w:t>
            </w:r>
          </w:p>
        </w:tc>
        <w:tc>
          <w:tcPr>
            <w:tcW w:w="1276" w:type="dxa"/>
            <w:gridSpan w:val="2"/>
            <w:tcBorders>
              <w:top w:val="nil"/>
              <w:left w:val="nil"/>
              <w:bottom w:val="nil"/>
              <w:right w:val="nil"/>
            </w:tcBorders>
          </w:tcPr>
          <w:p w14:paraId="2DA5A8A6"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616</w:t>
            </w:r>
          </w:p>
        </w:tc>
        <w:tc>
          <w:tcPr>
            <w:tcW w:w="1843" w:type="dxa"/>
            <w:tcBorders>
              <w:top w:val="nil"/>
              <w:left w:val="nil"/>
              <w:bottom w:val="nil"/>
              <w:right w:val="nil"/>
            </w:tcBorders>
          </w:tcPr>
          <w:p w14:paraId="4743ACF0" w14:textId="77777777" w:rsidR="00CD0D28" w:rsidRPr="007F78BA" w:rsidRDefault="00CD0D28" w:rsidP="002A5CF5">
            <w:pPr>
              <w:widowControl w:val="0"/>
              <w:autoSpaceDE w:val="0"/>
              <w:autoSpaceDN w:val="0"/>
              <w:adjustRightInd w:val="0"/>
              <w:jc w:val="right"/>
              <w:rPr>
                <w:rFonts w:ascii="Times New Roman" w:hAnsi="Times New Roman" w:cs="Times New Roman"/>
                <w:b/>
                <w:sz w:val="20"/>
                <w:szCs w:val="20"/>
                <w:lang w:val="en-GB"/>
              </w:rPr>
            </w:pPr>
            <w:r w:rsidRPr="007F78BA">
              <w:rPr>
                <w:rFonts w:ascii="Times New Roman" w:hAnsi="Times New Roman" w:cs="Times New Roman"/>
                <w:b/>
                <w:sz w:val="20"/>
                <w:szCs w:val="20"/>
                <w:lang w:val="en-GB"/>
              </w:rPr>
              <w:t>-</w:t>
            </w:r>
          </w:p>
        </w:tc>
      </w:tr>
      <w:tr w:rsidR="00CD0D28" w:rsidRPr="007F78BA" w14:paraId="23E0AC7C" w14:textId="77777777" w:rsidTr="002A5CF5">
        <w:trPr>
          <w:trHeight w:val="275"/>
          <w:jc w:val="center"/>
        </w:trPr>
        <w:tc>
          <w:tcPr>
            <w:tcW w:w="2429" w:type="dxa"/>
            <w:tcBorders>
              <w:top w:val="nil"/>
              <w:left w:val="nil"/>
              <w:bottom w:val="nil"/>
              <w:right w:val="nil"/>
            </w:tcBorders>
          </w:tcPr>
          <w:p w14:paraId="7B213DDD" w14:textId="77777777" w:rsidR="00CD0D28" w:rsidRPr="007F78BA" w:rsidRDefault="00CD0D28" w:rsidP="002A5CF5">
            <w:pPr>
              <w:widowControl w:val="0"/>
              <w:autoSpaceDE w:val="0"/>
              <w:autoSpaceDN w:val="0"/>
              <w:adjustRightInd w:val="0"/>
              <w:rPr>
                <w:rFonts w:ascii="Times New Roman" w:hAnsi="Times New Roman" w:cs="Times New Roman"/>
                <w:sz w:val="20"/>
                <w:szCs w:val="20"/>
                <w:lang w:val="en-GB"/>
              </w:rPr>
            </w:pPr>
            <w:r w:rsidRPr="007F78BA">
              <w:rPr>
                <w:rFonts w:ascii="Times New Roman" w:hAnsi="Times New Roman" w:cs="Times New Roman"/>
                <w:sz w:val="20"/>
                <w:szCs w:val="20"/>
                <w:lang w:val="en-GB"/>
              </w:rPr>
              <w:t xml:space="preserve"> 0 </w:t>
            </w:r>
          </w:p>
        </w:tc>
        <w:tc>
          <w:tcPr>
            <w:tcW w:w="832" w:type="dxa"/>
            <w:tcBorders>
              <w:top w:val="nil"/>
              <w:left w:val="nil"/>
              <w:bottom w:val="nil"/>
              <w:right w:val="nil"/>
            </w:tcBorders>
          </w:tcPr>
          <w:p w14:paraId="454F44F1"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2,205</w:t>
            </w:r>
          </w:p>
        </w:tc>
        <w:tc>
          <w:tcPr>
            <w:tcW w:w="1842" w:type="dxa"/>
            <w:tcBorders>
              <w:top w:val="nil"/>
              <w:left w:val="nil"/>
              <w:bottom w:val="nil"/>
              <w:right w:val="nil"/>
            </w:tcBorders>
          </w:tcPr>
          <w:p w14:paraId="0D149C8F" w14:textId="638E6E8F"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59.</w:t>
            </w:r>
            <w:r w:rsidR="00890551">
              <w:rPr>
                <w:rFonts w:ascii="Times New Roman" w:hAnsi="Times New Roman" w:cs="Times New Roman"/>
                <w:sz w:val="20"/>
                <w:szCs w:val="20"/>
                <w:lang w:val="en-GB"/>
              </w:rPr>
              <w:t>7</w:t>
            </w:r>
          </w:p>
        </w:tc>
        <w:tc>
          <w:tcPr>
            <w:tcW w:w="1276" w:type="dxa"/>
            <w:gridSpan w:val="2"/>
            <w:tcBorders>
              <w:top w:val="nil"/>
              <w:left w:val="nil"/>
              <w:bottom w:val="nil"/>
              <w:right w:val="nil"/>
            </w:tcBorders>
          </w:tcPr>
          <w:p w14:paraId="6AC6C69B"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307</w:t>
            </w:r>
          </w:p>
        </w:tc>
        <w:tc>
          <w:tcPr>
            <w:tcW w:w="1843" w:type="dxa"/>
            <w:tcBorders>
              <w:top w:val="nil"/>
              <w:left w:val="nil"/>
              <w:bottom w:val="nil"/>
              <w:right w:val="nil"/>
            </w:tcBorders>
          </w:tcPr>
          <w:p w14:paraId="66BE0C09" w14:textId="2F33E3FA"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49.8</w:t>
            </w:r>
          </w:p>
        </w:tc>
      </w:tr>
      <w:tr w:rsidR="00CD0D28" w:rsidRPr="007F78BA" w14:paraId="33ECB89F" w14:textId="77777777" w:rsidTr="002A5CF5">
        <w:trPr>
          <w:trHeight w:val="275"/>
          <w:jc w:val="center"/>
        </w:trPr>
        <w:tc>
          <w:tcPr>
            <w:tcW w:w="2429" w:type="dxa"/>
            <w:tcBorders>
              <w:top w:val="nil"/>
              <w:left w:val="nil"/>
              <w:bottom w:val="nil"/>
              <w:right w:val="nil"/>
            </w:tcBorders>
          </w:tcPr>
          <w:p w14:paraId="7D45C425" w14:textId="77777777" w:rsidR="00CD0D28" w:rsidRPr="007F78BA" w:rsidRDefault="00CD0D28" w:rsidP="002A5CF5">
            <w:pPr>
              <w:widowControl w:val="0"/>
              <w:autoSpaceDE w:val="0"/>
              <w:autoSpaceDN w:val="0"/>
              <w:adjustRightInd w:val="0"/>
              <w:rPr>
                <w:rFonts w:ascii="Times New Roman" w:hAnsi="Times New Roman" w:cs="Times New Roman"/>
                <w:sz w:val="20"/>
                <w:szCs w:val="20"/>
                <w:lang w:val="en-GB"/>
              </w:rPr>
            </w:pPr>
            <w:r w:rsidRPr="007F78BA">
              <w:rPr>
                <w:rFonts w:ascii="Times New Roman" w:hAnsi="Times New Roman" w:cs="Times New Roman"/>
                <w:sz w:val="20"/>
                <w:szCs w:val="20"/>
                <w:lang w:val="en-GB"/>
              </w:rPr>
              <w:t xml:space="preserve"> 1</w:t>
            </w:r>
          </w:p>
        </w:tc>
        <w:tc>
          <w:tcPr>
            <w:tcW w:w="832" w:type="dxa"/>
            <w:tcBorders>
              <w:top w:val="nil"/>
              <w:left w:val="nil"/>
              <w:bottom w:val="nil"/>
              <w:right w:val="nil"/>
            </w:tcBorders>
          </w:tcPr>
          <w:p w14:paraId="7882BAFF"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574</w:t>
            </w:r>
          </w:p>
        </w:tc>
        <w:tc>
          <w:tcPr>
            <w:tcW w:w="1842" w:type="dxa"/>
            <w:tcBorders>
              <w:top w:val="nil"/>
              <w:left w:val="nil"/>
              <w:bottom w:val="nil"/>
              <w:right w:val="nil"/>
            </w:tcBorders>
          </w:tcPr>
          <w:p w14:paraId="4A4CB6B5" w14:textId="6A344C66"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15.5</w:t>
            </w:r>
          </w:p>
        </w:tc>
        <w:tc>
          <w:tcPr>
            <w:tcW w:w="1276" w:type="dxa"/>
            <w:gridSpan w:val="2"/>
            <w:tcBorders>
              <w:top w:val="nil"/>
              <w:left w:val="nil"/>
              <w:bottom w:val="nil"/>
              <w:right w:val="nil"/>
            </w:tcBorders>
          </w:tcPr>
          <w:p w14:paraId="7C0A1125"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63</w:t>
            </w:r>
          </w:p>
        </w:tc>
        <w:tc>
          <w:tcPr>
            <w:tcW w:w="1843" w:type="dxa"/>
            <w:tcBorders>
              <w:top w:val="nil"/>
              <w:left w:val="nil"/>
              <w:bottom w:val="nil"/>
              <w:right w:val="nil"/>
            </w:tcBorders>
          </w:tcPr>
          <w:p w14:paraId="2940BF04" w14:textId="74BDC2A3"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10.2</w:t>
            </w:r>
          </w:p>
        </w:tc>
      </w:tr>
      <w:tr w:rsidR="00CD0D28" w:rsidRPr="007F78BA" w14:paraId="60F18846" w14:textId="77777777" w:rsidTr="002A5CF5">
        <w:trPr>
          <w:trHeight w:val="275"/>
          <w:jc w:val="center"/>
        </w:trPr>
        <w:tc>
          <w:tcPr>
            <w:tcW w:w="2429" w:type="dxa"/>
            <w:tcBorders>
              <w:top w:val="nil"/>
              <w:left w:val="nil"/>
              <w:bottom w:val="nil"/>
              <w:right w:val="nil"/>
            </w:tcBorders>
          </w:tcPr>
          <w:p w14:paraId="1B738022" w14:textId="77777777" w:rsidR="00CD0D28" w:rsidRPr="007F78BA" w:rsidRDefault="00CD0D28" w:rsidP="002A5CF5">
            <w:pPr>
              <w:widowControl w:val="0"/>
              <w:autoSpaceDE w:val="0"/>
              <w:autoSpaceDN w:val="0"/>
              <w:adjustRightInd w:val="0"/>
              <w:rPr>
                <w:rFonts w:ascii="Times New Roman" w:hAnsi="Times New Roman" w:cs="Times New Roman"/>
                <w:sz w:val="20"/>
                <w:szCs w:val="20"/>
                <w:lang w:val="en-GB"/>
              </w:rPr>
            </w:pPr>
            <w:r w:rsidRPr="007F78BA">
              <w:rPr>
                <w:rFonts w:ascii="Times New Roman" w:hAnsi="Times New Roman" w:cs="Times New Roman"/>
                <w:sz w:val="20"/>
                <w:szCs w:val="20"/>
                <w:lang w:val="en-GB"/>
              </w:rPr>
              <w:t xml:space="preserve"> 2–5</w:t>
            </w:r>
          </w:p>
        </w:tc>
        <w:tc>
          <w:tcPr>
            <w:tcW w:w="832" w:type="dxa"/>
            <w:tcBorders>
              <w:top w:val="nil"/>
              <w:left w:val="nil"/>
              <w:bottom w:val="nil"/>
              <w:right w:val="nil"/>
            </w:tcBorders>
          </w:tcPr>
          <w:p w14:paraId="3907600F"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688</w:t>
            </w:r>
          </w:p>
        </w:tc>
        <w:tc>
          <w:tcPr>
            <w:tcW w:w="1842" w:type="dxa"/>
            <w:tcBorders>
              <w:top w:val="nil"/>
              <w:left w:val="nil"/>
              <w:bottom w:val="nil"/>
              <w:right w:val="nil"/>
            </w:tcBorders>
          </w:tcPr>
          <w:p w14:paraId="6AFCF2C4" w14:textId="7363C6D5"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18.6</w:t>
            </w:r>
          </w:p>
        </w:tc>
        <w:tc>
          <w:tcPr>
            <w:tcW w:w="1276" w:type="dxa"/>
            <w:gridSpan w:val="2"/>
            <w:tcBorders>
              <w:top w:val="nil"/>
              <w:left w:val="nil"/>
              <w:bottom w:val="nil"/>
              <w:right w:val="nil"/>
            </w:tcBorders>
          </w:tcPr>
          <w:p w14:paraId="04FA48CF"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152</w:t>
            </w:r>
          </w:p>
        </w:tc>
        <w:tc>
          <w:tcPr>
            <w:tcW w:w="1843" w:type="dxa"/>
            <w:tcBorders>
              <w:top w:val="nil"/>
              <w:left w:val="nil"/>
              <w:bottom w:val="nil"/>
              <w:right w:val="nil"/>
            </w:tcBorders>
          </w:tcPr>
          <w:p w14:paraId="10C7ED91" w14:textId="01330C31"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24.</w:t>
            </w:r>
            <w:r w:rsidR="003803C1">
              <w:rPr>
                <w:rFonts w:ascii="Times New Roman" w:hAnsi="Times New Roman" w:cs="Times New Roman"/>
                <w:sz w:val="20"/>
                <w:szCs w:val="20"/>
                <w:lang w:val="en-GB"/>
              </w:rPr>
              <w:t>7</w:t>
            </w:r>
          </w:p>
        </w:tc>
      </w:tr>
      <w:tr w:rsidR="00CD0D28" w:rsidRPr="007F78BA" w14:paraId="62B32D72" w14:textId="77777777" w:rsidTr="002A5CF5">
        <w:trPr>
          <w:trHeight w:val="275"/>
          <w:jc w:val="center"/>
        </w:trPr>
        <w:tc>
          <w:tcPr>
            <w:tcW w:w="2429" w:type="dxa"/>
            <w:tcBorders>
              <w:top w:val="nil"/>
              <w:left w:val="nil"/>
              <w:bottom w:val="nil"/>
              <w:right w:val="nil"/>
            </w:tcBorders>
          </w:tcPr>
          <w:p w14:paraId="2D05D2E7" w14:textId="77777777" w:rsidR="00CD0D28" w:rsidRPr="007F78BA" w:rsidRDefault="00CD0D28" w:rsidP="002A5CF5">
            <w:pPr>
              <w:widowControl w:val="0"/>
              <w:autoSpaceDE w:val="0"/>
              <w:autoSpaceDN w:val="0"/>
              <w:adjustRightInd w:val="0"/>
              <w:rPr>
                <w:rFonts w:ascii="Times New Roman" w:hAnsi="Times New Roman" w:cs="Times New Roman"/>
                <w:sz w:val="20"/>
                <w:szCs w:val="20"/>
                <w:lang w:val="en-GB"/>
              </w:rPr>
            </w:pPr>
            <w:r w:rsidRPr="007F78BA">
              <w:rPr>
                <w:rFonts w:ascii="Times New Roman" w:hAnsi="Times New Roman" w:cs="Times New Roman"/>
                <w:sz w:val="20"/>
                <w:szCs w:val="20"/>
                <w:lang w:val="en-GB"/>
              </w:rPr>
              <w:t xml:space="preserve"> 6–10</w:t>
            </w:r>
          </w:p>
        </w:tc>
        <w:tc>
          <w:tcPr>
            <w:tcW w:w="832" w:type="dxa"/>
            <w:tcBorders>
              <w:top w:val="nil"/>
              <w:left w:val="nil"/>
              <w:bottom w:val="nil"/>
              <w:right w:val="nil"/>
            </w:tcBorders>
          </w:tcPr>
          <w:p w14:paraId="5378A9DB"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96</w:t>
            </w:r>
          </w:p>
        </w:tc>
        <w:tc>
          <w:tcPr>
            <w:tcW w:w="1842" w:type="dxa"/>
            <w:tcBorders>
              <w:top w:val="nil"/>
              <w:left w:val="nil"/>
              <w:bottom w:val="nil"/>
              <w:right w:val="nil"/>
            </w:tcBorders>
          </w:tcPr>
          <w:p w14:paraId="57190A67" w14:textId="55CFDB2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2.6</w:t>
            </w:r>
          </w:p>
        </w:tc>
        <w:tc>
          <w:tcPr>
            <w:tcW w:w="1276" w:type="dxa"/>
            <w:gridSpan w:val="2"/>
            <w:tcBorders>
              <w:top w:val="nil"/>
              <w:left w:val="nil"/>
              <w:bottom w:val="nil"/>
              <w:right w:val="nil"/>
            </w:tcBorders>
          </w:tcPr>
          <w:p w14:paraId="76B0F512"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38</w:t>
            </w:r>
          </w:p>
        </w:tc>
        <w:tc>
          <w:tcPr>
            <w:tcW w:w="1843" w:type="dxa"/>
            <w:tcBorders>
              <w:top w:val="nil"/>
              <w:left w:val="nil"/>
              <w:bottom w:val="nil"/>
              <w:right w:val="nil"/>
            </w:tcBorders>
          </w:tcPr>
          <w:p w14:paraId="7DB6A3B4" w14:textId="1E675AD8"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6.1</w:t>
            </w:r>
          </w:p>
        </w:tc>
      </w:tr>
      <w:tr w:rsidR="00CD0D28" w:rsidRPr="007F78BA" w14:paraId="5CC50382" w14:textId="77777777" w:rsidTr="002A5CF5">
        <w:trPr>
          <w:trHeight w:val="275"/>
          <w:jc w:val="center"/>
        </w:trPr>
        <w:tc>
          <w:tcPr>
            <w:tcW w:w="2429" w:type="dxa"/>
            <w:tcBorders>
              <w:top w:val="nil"/>
              <w:left w:val="nil"/>
              <w:bottom w:val="nil"/>
              <w:right w:val="nil"/>
            </w:tcBorders>
          </w:tcPr>
          <w:p w14:paraId="0EE34E67" w14:textId="77777777" w:rsidR="00CD0D28" w:rsidRPr="007F78BA" w:rsidRDefault="00CD0D28" w:rsidP="002A5CF5">
            <w:pPr>
              <w:widowControl w:val="0"/>
              <w:autoSpaceDE w:val="0"/>
              <w:autoSpaceDN w:val="0"/>
              <w:adjustRightInd w:val="0"/>
              <w:rPr>
                <w:rFonts w:ascii="Times New Roman" w:hAnsi="Times New Roman" w:cs="Times New Roman"/>
                <w:sz w:val="20"/>
                <w:szCs w:val="20"/>
                <w:lang w:val="en-GB"/>
              </w:rPr>
            </w:pPr>
            <w:r w:rsidRPr="007F78BA">
              <w:rPr>
                <w:rFonts w:ascii="Times New Roman" w:hAnsi="Times New Roman" w:cs="Times New Roman"/>
                <w:sz w:val="20"/>
                <w:szCs w:val="20"/>
                <w:lang w:val="en-GB"/>
              </w:rPr>
              <w:t xml:space="preserve"> 11–20</w:t>
            </w:r>
          </w:p>
        </w:tc>
        <w:tc>
          <w:tcPr>
            <w:tcW w:w="832" w:type="dxa"/>
            <w:tcBorders>
              <w:top w:val="nil"/>
              <w:left w:val="nil"/>
              <w:bottom w:val="nil"/>
              <w:right w:val="nil"/>
            </w:tcBorders>
          </w:tcPr>
          <w:p w14:paraId="41436CAE"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77</w:t>
            </w:r>
          </w:p>
        </w:tc>
        <w:tc>
          <w:tcPr>
            <w:tcW w:w="1842" w:type="dxa"/>
            <w:tcBorders>
              <w:top w:val="nil"/>
              <w:left w:val="nil"/>
              <w:bottom w:val="nil"/>
              <w:right w:val="nil"/>
            </w:tcBorders>
          </w:tcPr>
          <w:p w14:paraId="52AD2FF1" w14:textId="22175816"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2.0</w:t>
            </w:r>
          </w:p>
        </w:tc>
        <w:tc>
          <w:tcPr>
            <w:tcW w:w="1276" w:type="dxa"/>
            <w:gridSpan w:val="2"/>
            <w:tcBorders>
              <w:top w:val="nil"/>
              <w:left w:val="nil"/>
              <w:bottom w:val="nil"/>
              <w:right w:val="nil"/>
            </w:tcBorders>
          </w:tcPr>
          <w:p w14:paraId="59151D7F"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29</w:t>
            </w:r>
          </w:p>
        </w:tc>
        <w:tc>
          <w:tcPr>
            <w:tcW w:w="1843" w:type="dxa"/>
            <w:tcBorders>
              <w:top w:val="nil"/>
              <w:left w:val="nil"/>
              <w:bottom w:val="nil"/>
              <w:right w:val="nil"/>
            </w:tcBorders>
          </w:tcPr>
          <w:p w14:paraId="1A196F06" w14:textId="7E14CCED"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4.7</w:t>
            </w:r>
          </w:p>
        </w:tc>
      </w:tr>
      <w:tr w:rsidR="00CD0D28" w:rsidRPr="007F78BA" w14:paraId="325793C3" w14:textId="77777777" w:rsidTr="002A5CF5">
        <w:trPr>
          <w:trHeight w:val="275"/>
          <w:jc w:val="center"/>
        </w:trPr>
        <w:tc>
          <w:tcPr>
            <w:tcW w:w="2429" w:type="dxa"/>
            <w:tcBorders>
              <w:top w:val="nil"/>
              <w:left w:val="nil"/>
              <w:bottom w:val="nil"/>
              <w:right w:val="nil"/>
            </w:tcBorders>
          </w:tcPr>
          <w:p w14:paraId="0D247343" w14:textId="77777777" w:rsidR="00CD0D28" w:rsidRPr="007F78BA" w:rsidRDefault="00CD0D28" w:rsidP="002A5CF5">
            <w:pPr>
              <w:widowControl w:val="0"/>
              <w:autoSpaceDE w:val="0"/>
              <w:autoSpaceDN w:val="0"/>
              <w:adjustRightInd w:val="0"/>
              <w:rPr>
                <w:rFonts w:ascii="Times New Roman" w:hAnsi="Times New Roman" w:cs="Times New Roman"/>
                <w:sz w:val="20"/>
                <w:szCs w:val="20"/>
                <w:lang w:val="en-GB"/>
              </w:rPr>
            </w:pPr>
            <w:r w:rsidRPr="007F78BA">
              <w:rPr>
                <w:rFonts w:ascii="Times New Roman" w:hAnsi="Times New Roman" w:cs="Times New Roman"/>
                <w:sz w:val="20"/>
                <w:szCs w:val="20"/>
                <w:lang w:val="en-GB"/>
              </w:rPr>
              <w:t xml:space="preserve"> 20–50</w:t>
            </w:r>
          </w:p>
        </w:tc>
        <w:tc>
          <w:tcPr>
            <w:tcW w:w="832" w:type="dxa"/>
            <w:tcBorders>
              <w:top w:val="nil"/>
              <w:left w:val="nil"/>
              <w:bottom w:val="nil"/>
              <w:right w:val="nil"/>
            </w:tcBorders>
          </w:tcPr>
          <w:p w14:paraId="4A668D6F"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37</w:t>
            </w:r>
          </w:p>
        </w:tc>
        <w:tc>
          <w:tcPr>
            <w:tcW w:w="1842" w:type="dxa"/>
            <w:tcBorders>
              <w:top w:val="nil"/>
              <w:left w:val="nil"/>
              <w:bottom w:val="nil"/>
              <w:right w:val="nil"/>
            </w:tcBorders>
          </w:tcPr>
          <w:p w14:paraId="5B4CA8B9" w14:textId="749B1390"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1.0</w:t>
            </w:r>
          </w:p>
        </w:tc>
        <w:tc>
          <w:tcPr>
            <w:tcW w:w="1276" w:type="dxa"/>
            <w:gridSpan w:val="2"/>
            <w:tcBorders>
              <w:top w:val="nil"/>
              <w:left w:val="nil"/>
              <w:bottom w:val="nil"/>
              <w:right w:val="nil"/>
            </w:tcBorders>
          </w:tcPr>
          <w:p w14:paraId="26F1B366"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25</w:t>
            </w:r>
          </w:p>
        </w:tc>
        <w:tc>
          <w:tcPr>
            <w:tcW w:w="1843" w:type="dxa"/>
            <w:tcBorders>
              <w:top w:val="nil"/>
              <w:left w:val="nil"/>
              <w:bottom w:val="nil"/>
              <w:right w:val="nil"/>
            </w:tcBorders>
          </w:tcPr>
          <w:p w14:paraId="217C2301" w14:textId="4DCF9075"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4.</w:t>
            </w:r>
            <w:r w:rsidR="003803C1">
              <w:rPr>
                <w:rFonts w:ascii="Times New Roman" w:hAnsi="Times New Roman" w:cs="Times New Roman"/>
                <w:sz w:val="20"/>
                <w:szCs w:val="20"/>
                <w:lang w:val="en-GB"/>
              </w:rPr>
              <w:t>1</w:t>
            </w:r>
          </w:p>
        </w:tc>
      </w:tr>
      <w:tr w:rsidR="00CD0D28" w:rsidRPr="007F78BA" w14:paraId="0FEB2345" w14:textId="77777777" w:rsidTr="002A5CF5">
        <w:trPr>
          <w:trHeight w:val="275"/>
          <w:jc w:val="center"/>
        </w:trPr>
        <w:tc>
          <w:tcPr>
            <w:tcW w:w="2429" w:type="dxa"/>
            <w:tcBorders>
              <w:top w:val="nil"/>
              <w:left w:val="nil"/>
              <w:bottom w:val="nil"/>
              <w:right w:val="nil"/>
            </w:tcBorders>
          </w:tcPr>
          <w:p w14:paraId="64CC74BB" w14:textId="77777777" w:rsidR="00CD0D28" w:rsidRPr="007F78BA" w:rsidRDefault="00CD0D28" w:rsidP="002A5CF5">
            <w:pPr>
              <w:widowControl w:val="0"/>
              <w:autoSpaceDE w:val="0"/>
              <w:autoSpaceDN w:val="0"/>
              <w:adjustRightInd w:val="0"/>
              <w:rPr>
                <w:rFonts w:ascii="Times New Roman" w:hAnsi="Times New Roman" w:cs="Times New Roman"/>
                <w:sz w:val="20"/>
                <w:szCs w:val="20"/>
                <w:lang w:val="en-GB"/>
              </w:rPr>
            </w:pPr>
            <w:r w:rsidRPr="007F78BA">
              <w:rPr>
                <w:rFonts w:ascii="Times New Roman" w:hAnsi="Times New Roman" w:cs="Times New Roman"/>
                <w:sz w:val="20"/>
                <w:szCs w:val="20"/>
                <w:lang w:val="en-GB"/>
              </w:rPr>
              <w:t xml:space="preserve"> 50+</w:t>
            </w:r>
          </w:p>
        </w:tc>
        <w:tc>
          <w:tcPr>
            <w:tcW w:w="832" w:type="dxa"/>
            <w:tcBorders>
              <w:top w:val="nil"/>
              <w:left w:val="nil"/>
              <w:bottom w:val="nil"/>
              <w:right w:val="nil"/>
            </w:tcBorders>
          </w:tcPr>
          <w:p w14:paraId="12A7226C"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17</w:t>
            </w:r>
          </w:p>
        </w:tc>
        <w:tc>
          <w:tcPr>
            <w:tcW w:w="1842" w:type="dxa"/>
            <w:tcBorders>
              <w:top w:val="nil"/>
              <w:left w:val="nil"/>
              <w:bottom w:val="nil"/>
              <w:right w:val="nil"/>
            </w:tcBorders>
          </w:tcPr>
          <w:p w14:paraId="30E03FB5" w14:textId="1B3E2CEE"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0.</w:t>
            </w:r>
            <w:r w:rsidR="00890551">
              <w:rPr>
                <w:rFonts w:ascii="Times New Roman" w:hAnsi="Times New Roman" w:cs="Times New Roman"/>
                <w:sz w:val="20"/>
                <w:szCs w:val="20"/>
                <w:lang w:val="en-GB"/>
              </w:rPr>
              <w:t>5</w:t>
            </w:r>
          </w:p>
        </w:tc>
        <w:tc>
          <w:tcPr>
            <w:tcW w:w="1276" w:type="dxa"/>
            <w:gridSpan w:val="2"/>
            <w:tcBorders>
              <w:top w:val="nil"/>
              <w:left w:val="nil"/>
              <w:bottom w:val="nil"/>
              <w:right w:val="nil"/>
            </w:tcBorders>
          </w:tcPr>
          <w:p w14:paraId="25F8DE9E"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2</w:t>
            </w:r>
          </w:p>
        </w:tc>
        <w:tc>
          <w:tcPr>
            <w:tcW w:w="1843" w:type="dxa"/>
            <w:tcBorders>
              <w:top w:val="nil"/>
              <w:left w:val="nil"/>
              <w:bottom w:val="nil"/>
              <w:right w:val="nil"/>
            </w:tcBorders>
          </w:tcPr>
          <w:p w14:paraId="57812166" w14:textId="2EE5A4A2"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0.3</w:t>
            </w:r>
          </w:p>
        </w:tc>
      </w:tr>
      <w:tr w:rsidR="00CD0D28" w:rsidRPr="007F78BA" w14:paraId="7451FC8E" w14:textId="77777777" w:rsidTr="002A5CF5">
        <w:trPr>
          <w:trHeight w:val="297"/>
          <w:jc w:val="center"/>
        </w:trPr>
        <w:tc>
          <w:tcPr>
            <w:tcW w:w="2429" w:type="dxa"/>
            <w:tcBorders>
              <w:top w:val="nil"/>
              <w:left w:val="nil"/>
              <w:bottom w:val="nil"/>
              <w:right w:val="nil"/>
            </w:tcBorders>
          </w:tcPr>
          <w:p w14:paraId="4AB4C00B" w14:textId="77777777" w:rsidR="00CD0D28" w:rsidRPr="007F78BA" w:rsidRDefault="00CD0D28" w:rsidP="002A5CF5">
            <w:pPr>
              <w:widowControl w:val="0"/>
              <w:autoSpaceDE w:val="0"/>
              <w:autoSpaceDN w:val="0"/>
              <w:adjustRightInd w:val="0"/>
              <w:rPr>
                <w:rFonts w:ascii="Times New Roman" w:hAnsi="Times New Roman" w:cs="Times New Roman"/>
                <w:sz w:val="20"/>
                <w:szCs w:val="20"/>
                <w:lang w:val="en-GB"/>
              </w:rPr>
            </w:pPr>
          </w:p>
        </w:tc>
        <w:tc>
          <w:tcPr>
            <w:tcW w:w="832" w:type="dxa"/>
            <w:tcBorders>
              <w:top w:val="nil"/>
              <w:left w:val="nil"/>
              <w:bottom w:val="nil"/>
              <w:right w:val="nil"/>
            </w:tcBorders>
          </w:tcPr>
          <w:p w14:paraId="133845C2"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p>
        </w:tc>
        <w:tc>
          <w:tcPr>
            <w:tcW w:w="1842" w:type="dxa"/>
            <w:tcBorders>
              <w:top w:val="nil"/>
              <w:left w:val="nil"/>
              <w:bottom w:val="nil"/>
              <w:right w:val="nil"/>
            </w:tcBorders>
          </w:tcPr>
          <w:p w14:paraId="70D8DC32"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p>
        </w:tc>
        <w:tc>
          <w:tcPr>
            <w:tcW w:w="1276" w:type="dxa"/>
            <w:gridSpan w:val="2"/>
            <w:tcBorders>
              <w:top w:val="nil"/>
              <w:left w:val="nil"/>
              <w:bottom w:val="nil"/>
              <w:right w:val="nil"/>
            </w:tcBorders>
          </w:tcPr>
          <w:p w14:paraId="4A845742"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p>
        </w:tc>
        <w:tc>
          <w:tcPr>
            <w:tcW w:w="1843" w:type="dxa"/>
            <w:tcBorders>
              <w:top w:val="nil"/>
              <w:left w:val="nil"/>
              <w:bottom w:val="nil"/>
              <w:right w:val="nil"/>
            </w:tcBorders>
          </w:tcPr>
          <w:p w14:paraId="52146ACC"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p>
        </w:tc>
      </w:tr>
      <w:tr w:rsidR="00CD0D28" w:rsidRPr="007F78BA" w14:paraId="23D6EA77" w14:textId="77777777" w:rsidTr="002A5CF5">
        <w:trPr>
          <w:trHeight w:val="275"/>
          <w:jc w:val="center"/>
        </w:trPr>
        <w:tc>
          <w:tcPr>
            <w:tcW w:w="2429" w:type="dxa"/>
            <w:tcBorders>
              <w:top w:val="nil"/>
              <w:left w:val="nil"/>
              <w:bottom w:val="nil"/>
              <w:right w:val="nil"/>
            </w:tcBorders>
          </w:tcPr>
          <w:p w14:paraId="0852DBBC" w14:textId="77777777" w:rsidR="00CD0D28" w:rsidRPr="007F78BA" w:rsidRDefault="00CD0D28" w:rsidP="002A5CF5">
            <w:pPr>
              <w:widowControl w:val="0"/>
              <w:autoSpaceDE w:val="0"/>
              <w:autoSpaceDN w:val="0"/>
              <w:adjustRightInd w:val="0"/>
              <w:rPr>
                <w:rFonts w:ascii="Times New Roman" w:hAnsi="Times New Roman" w:cs="Times New Roman"/>
                <w:b/>
                <w:sz w:val="20"/>
                <w:szCs w:val="20"/>
                <w:lang w:val="en-GB"/>
              </w:rPr>
            </w:pPr>
            <w:r w:rsidRPr="007F78BA">
              <w:rPr>
                <w:rFonts w:ascii="Times New Roman" w:hAnsi="Times New Roman" w:cs="Times New Roman"/>
                <w:b/>
                <w:sz w:val="20"/>
                <w:szCs w:val="20"/>
                <w:lang w:val="en-GB"/>
              </w:rPr>
              <w:t xml:space="preserve">SIHS </w:t>
            </w:r>
            <w:r w:rsidRPr="007F78BA">
              <w:rPr>
                <w:rFonts w:ascii="Times New Roman" w:hAnsi="Times New Roman" w:cs="Times New Roman"/>
                <w:b/>
                <w:sz w:val="20"/>
                <w:szCs w:val="20"/>
                <w:lang w:val="en-GB"/>
              </w:rPr>
              <w:br/>
              <w:t>(range: 0–6)</w:t>
            </w:r>
          </w:p>
        </w:tc>
        <w:tc>
          <w:tcPr>
            <w:tcW w:w="832" w:type="dxa"/>
            <w:tcBorders>
              <w:top w:val="nil"/>
              <w:left w:val="nil"/>
              <w:bottom w:val="nil"/>
              <w:right w:val="nil"/>
            </w:tcBorders>
          </w:tcPr>
          <w:p w14:paraId="6DC4706B"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p>
        </w:tc>
        <w:tc>
          <w:tcPr>
            <w:tcW w:w="1842" w:type="dxa"/>
            <w:tcBorders>
              <w:top w:val="nil"/>
              <w:left w:val="nil"/>
              <w:bottom w:val="nil"/>
              <w:right w:val="nil"/>
            </w:tcBorders>
          </w:tcPr>
          <w:p w14:paraId="2419B0C2" w14:textId="3B4E64CD" w:rsidR="00CD0D28" w:rsidRPr="007F78BA" w:rsidRDefault="00CD0D28" w:rsidP="002A5CF5">
            <w:pPr>
              <w:widowControl w:val="0"/>
              <w:autoSpaceDE w:val="0"/>
              <w:autoSpaceDN w:val="0"/>
              <w:adjustRightInd w:val="0"/>
              <w:jc w:val="right"/>
              <w:rPr>
                <w:rFonts w:ascii="Times New Roman" w:hAnsi="Times New Roman" w:cs="Times New Roman"/>
                <w:b/>
                <w:sz w:val="20"/>
                <w:szCs w:val="20"/>
                <w:lang w:val="en-GB"/>
              </w:rPr>
            </w:pPr>
            <w:r w:rsidRPr="007F78BA">
              <w:rPr>
                <w:rFonts w:ascii="Times New Roman" w:hAnsi="Times New Roman" w:cs="Times New Roman"/>
                <w:b/>
                <w:sz w:val="20"/>
                <w:szCs w:val="20"/>
                <w:lang w:val="en-GB"/>
              </w:rPr>
              <w:t>1.3</w:t>
            </w:r>
          </w:p>
        </w:tc>
        <w:tc>
          <w:tcPr>
            <w:tcW w:w="1276" w:type="dxa"/>
            <w:gridSpan w:val="2"/>
            <w:tcBorders>
              <w:top w:val="nil"/>
              <w:left w:val="nil"/>
              <w:bottom w:val="nil"/>
              <w:right w:val="nil"/>
            </w:tcBorders>
          </w:tcPr>
          <w:p w14:paraId="089ECDEF"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p>
        </w:tc>
        <w:tc>
          <w:tcPr>
            <w:tcW w:w="1843" w:type="dxa"/>
            <w:tcBorders>
              <w:top w:val="nil"/>
              <w:left w:val="nil"/>
              <w:bottom w:val="nil"/>
              <w:right w:val="nil"/>
            </w:tcBorders>
          </w:tcPr>
          <w:p w14:paraId="4F4EF9ED" w14:textId="76F92236" w:rsidR="00CD0D28" w:rsidRPr="007F78BA" w:rsidRDefault="00CD0D28" w:rsidP="002A5CF5">
            <w:pPr>
              <w:widowControl w:val="0"/>
              <w:autoSpaceDE w:val="0"/>
              <w:autoSpaceDN w:val="0"/>
              <w:adjustRightInd w:val="0"/>
              <w:jc w:val="right"/>
              <w:rPr>
                <w:rFonts w:ascii="Times New Roman" w:hAnsi="Times New Roman" w:cs="Times New Roman"/>
                <w:b/>
                <w:sz w:val="20"/>
                <w:szCs w:val="20"/>
                <w:lang w:val="en-GB"/>
              </w:rPr>
            </w:pPr>
            <w:r w:rsidRPr="007F78BA">
              <w:rPr>
                <w:rFonts w:ascii="Times New Roman" w:hAnsi="Times New Roman" w:cs="Times New Roman"/>
                <w:b/>
                <w:sz w:val="20"/>
                <w:szCs w:val="20"/>
                <w:lang w:val="en-GB"/>
              </w:rPr>
              <w:t>2.</w:t>
            </w:r>
            <w:r w:rsidR="003803C1">
              <w:rPr>
                <w:rFonts w:ascii="Times New Roman" w:hAnsi="Times New Roman" w:cs="Times New Roman"/>
                <w:b/>
                <w:sz w:val="20"/>
                <w:szCs w:val="20"/>
                <w:lang w:val="en-GB"/>
              </w:rPr>
              <w:t>4</w:t>
            </w:r>
          </w:p>
        </w:tc>
      </w:tr>
      <w:tr w:rsidR="00CD0D28" w:rsidRPr="007F78BA" w14:paraId="05545230" w14:textId="77777777" w:rsidTr="002A5CF5">
        <w:trPr>
          <w:trHeight w:val="275"/>
          <w:jc w:val="center"/>
        </w:trPr>
        <w:tc>
          <w:tcPr>
            <w:tcW w:w="2429" w:type="dxa"/>
            <w:tcBorders>
              <w:top w:val="nil"/>
              <w:left w:val="nil"/>
              <w:bottom w:val="nil"/>
              <w:right w:val="nil"/>
            </w:tcBorders>
          </w:tcPr>
          <w:p w14:paraId="06EDAA41" w14:textId="77777777" w:rsidR="00CD0D28" w:rsidRPr="007F78BA" w:rsidRDefault="00CD0D28" w:rsidP="002A5CF5">
            <w:pPr>
              <w:widowControl w:val="0"/>
              <w:autoSpaceDE w:val="0"/>
              <w:autoSpaceDN w:val="0"/>
              <w:adjustRightInd w:val="0"/>
              <w:rPr>
                <w:rFonts w:ascii="Times New Roman" w:hAnsi="Times New Roman" w:cs="Times New Roman"/>
                <w:sz w:val="20"/>
                <w:szCs w:val="20"/>
                <w:lang w:val="en-GB"/>
              </w:rPr>
            </w:pPr>
            <w:r w:rsidRPr="007F78BA">
              <w:rPr>
                <w:rFonts w:ascii="Times New Roman" w:hAnsi="Times New Roman" w:cs="Times New Roman"/>
                <w:sz w:val="20"/>
                <w:szCs w:val="20"/>
                <w:lang w:val="en-GB"/>
              </w:rPr>
              <w:t xml:space="preserve"> IH1</w:t>
            </w:r>
          </w:p>
        </w:tc>
        <w:tc>
          <w:tcPr>
            <w:tcW w:w="832" w:type="dxa"/>
            <w:tcBorders>
              <w:top w:val="nil"/>
              <w:left w:val="nil"/>
              <w:bottom w:val="nil"/>
              <w:right w:val="nil"/>
            </w:tcBorders>
          </w:tcPr>
          <w:p w14:paraId="66A93CFA"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3,902</w:t>
            </w:r>
          </w:p>
        </w:tc>
        <w:tc>
          <w:tcPr>
            <w:tcW w:w="1842" w:type="dxa"/>
            <w:tcBorders>
              <w:top w:val="nil"/>
              <w:left w:val="nil"/>
              <w:bottom w:val="nil"/>
              <w:right w:val="nil"/>
            </w:tcBorders>
          </w:tcPr>
          <w:p w14:paraId="059539F6" w14:textId="497DEB1B" w:rsidR="00CD0D28" w:rsidRPr="007F78BA" w:rsidRDefault="00CD0D28" w:rsidP="002A5CF5">
            <w:pPr>
              <w:widowControl w:val="0"/>
              <w:autoSpaceDE w:val="0"/>
              <w:autoSpaceDN w:val="0"/>
              <w:adjustRightInd w:val="0"/>
              <w:jc w:val="right"/>
              <w:rPr>
                <w:rFonts w:ascii="Times New Roman" w:hAnsi="Times New Roman" w:cs="Times New Roman"/>
                <w:b/>
                <w:sz w:val="20"/>
                <w:szCs w:val="20"/>
                <w:lang w:val="en-GB"/>
              </w:rPr>
            </w:pPr>
            <w:r w:rsidRPr="007F78BA">
              <w:rPr>
                <w:rFonts w:ascii="Times New Roman" w:hAnsi="Times New Roman" w:cs="Times New Roman"/>
                <w:b/>
                <w:sz w:val="20"/>
                <w:szCs w:val="20"/>
                <w:lang w:val="en-GB"/>
              </w:rPr>
              <w:t>1.6</w:t>
            </w:r>
          </w:p>
        </w:tc>
        <w:tc>
          <w:tcPr>
            <w:tcW w:w="1276" w:type="dxa"/>
            <w:gridSpan w:val="2"/>
            <w:tcBorders>
              <w:top w:val="nil"/>
              <w:left w:val="nil"/>
              <w:bottom w:val="nil"/>
              <w:right w:val="nil"/>
            </w:tcBorders>
          </w:tcPr>
          <w:p w14:paraId="48DD3E80"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672</w:t>
            </w:r>
          </w:p>
        </w:tc>
        <w:tc>
          <w:tcPr>
            <w:tcW w:w="1843" w:type="dxa"/>
            <w:tcBorders>
              <w:top w:val="nil"/>
              <w:left w:val="nil"/>
              <w:bottom w:val="nil"/>
              <w:right w:val="nil"/>
            </w:tcBorders>
          </w:tcPr>
          <w:p w14:paraId="6AB38DD0" w14:textId="4EA25C04" w:rsidR="00CD0D28" w:rsidRPr="007F78BA" w:rsidRDefault="00CD0D28" w:rsidP="002A5CF5">
            <w:pPr>
              <w:widowControl w:val="0"/>
              <w:autoSpaceDE w:val="0"/>
              <w:autoSpaceDN w:val="0"/>
              <w:adjustRightInd w:val="0"/>
              <w:jc w:val="right"/>
              <w:rPr>
                <w:rFonts w:ascii="Times New Roman" w:hAnsi="Times New Roman" w:cs="Times New Roman"/>
                <w:b/>
                <w:sz w:val="20"/>
                <w:szCs w:val="20"/>
                <w:lang w:val="en-GB"/>
              </w:rPr>
            </w:pPr>
            <w:r w:rsidRPr="007F78BA">
              <w:rPr>
                <w:rFonts w:ascii="Times New Roman" w:hAnsi="Times New Roman" w:cs="Times New Roman"/>
                <w:b/>
                <w:sz w:val="20"/>
                <w:szCs w:val="20"/>
                <w:lang w:val="en-GB"/>
              </w:rPr>
              <w:t>2.4</w:t>
            </w:r>
          </w:p>
        </w:tc>
      </w:tr>
      <w:tr w:rsidR="00CD0D28" w:rsidRPr="007F78BA" w14:paraId="1267850A" w14:textId="77777777" w:rsidTr="002A5CF5">
        <w:trPr>
          <w:trHeight w:val="275"/>
          <w:jc w:val="center"/>
        </w:trPr>
        <w:tc>
          <w:tcPr>
            <w:tcW w:w="2429" w:type="dxa"/>
            <w:tcBorders>
              <w:top w:val="nil"/>
              <w:left w:val="nil"/>
              <w:bottom w:val="nil"/>
              <w:right w:val="nil"/>
            </w:tcBorders>
          </w:tcPr>
          <w:p w14:paraId="0EE1A4F3" w14:textId="77777777" w:rsidR="00CD0D28" w:rsidRPr="007F78BA" w:rsidRDefault="00CD0D28" w:rsidP="002A5CF5">
            <w:pPr>
              <w:widowControl w:val="0"/>
              <w:autoSpaceDE w:val="0"/>
              <w:autoSpaceDN w:val="0"/>
              <w:adjustRightInd w:val="0"/>
              <w:rPr>
                <w:rFonts w:ascii="Times New Roman" w:hAnsi="Times New Roman" w:cs="Times New Roman"/>
                <w:sz w:val="20"/>
                <w:szCs w:val="20"/>
                <w:lang w:val="en-GB"/>
              </w:rPr>
            </w:pPr>
            <w:r w:rsidRPr="007F78BA">
              <w:rPr>
                <w:rFonts w:ascii="Times New Roman" w:hAnsi="Times New Roman" w:cs="Times New Roman"/>
                <w:sz w:val="20"/>
                <w:szCs w:val="20"/>
                <w:lang w:val="en-GB"/>
              </w:rPr>
              <w:t xml:space="preserve"> IH2</w:t>
            </w:r>
          </w:p>
        </w:tc>
        <w:tc>
          <w:tcPr>
            <w:tcW w:w="832" w:type="dxa"/>
            <w:tcBorders>
              <w:top w:val="nil"/>
              <w:left w:val="nil"/>
              <w:bottom w:val="nil"/>
              <w:right w:val="nil"/>
            </w:tcBorders>
          </w:tcPr>
          <w:p w14:paraId="0181C9E2"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3,902</w:t>
            </w:r>
          </w:p>
        </w:tc>
        <w:tc>
          <w:tcPr>
            <w:tcW w:w="1842" w:type="dxa"/>
            <w:tcBorders>
              <w:top w:val="nil"/>
              <w:left w:val="nil"/>
              <w:bottom w:val="nil"/>
              <w:right w:val="nil"/>
            </w:tcBorders>
          </w:tcPr>
          <w:p w14:paraId="6B2AA124" w14:textId="7EB15474" w:rsidR="00CD0D28" w:rsidRPr="007F78BA" w:rsidRDefault="00CD0D28" w:rsidP="002A5CF5">
            <w:pPr>
              <w:widowControl w:val="0"/>
              <w:autoSpaceDE w:val="0"/>
              <w:autoSpaceDN w:val="0"/>
              <w:adjustRightInd w:val="0"/>
              <w:jc w:val="right"/>
              <w:rPr>
                <w:rFonts w:ascii="Times New Roman" w:hAnsi="Times New Roman" w:cs="Times New Roman"/>
                <w:b/>
                <w:sz w:val="20"/>
                <w:szCs w:val="20"/>
                <w:lang w:val="en-GB"/>
              </w:rPr>
            </w:pPr>
            <w:r w:rsidRPr="007F78BA">
              <w:rPr>
                <w:rFonts w:ascii="Times New Roman" w:hAnsi="Times New Roman" w:cs="Times New Roman"/>
                <w:b/>
                <w:sz w:val="20"/>
                <w:szCs w:val="20"/>
                <w:lang w:val="en-GB"/>
              </w:rPr>
              <w:t>1.7</w:t>
            </w:r>
          </w:p>
        </w:tc>
        <w:tc>
          <w:tcPr>
            <w:tcW w:w="1276" w:type="dxa"/>
            <w:gridSpan w:val="2"/>
            <w:tcBorders>
              <w:top w:val="nil"/>
              <w:left w:val="nil"/>
              <w:bottom w:val="nil"/>
              <w:right w:val="nil"/>
            </w:tcBorders>
          </w:tcPr>
          <w:p w14:paraId="5D74CB34"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672</w:t>
            </w:r>
          </w:p>
        </w:tc>
        <w:tc>
          <w:tcPr>
            <w:tcW w:w="1843" w:type="dxa"/>
            <w:tcBorders>
              <w:top w:val="nil"/>
              <w:left w:val="nil"/>
              <w:bottom w:val="nil"/>
              <w:right w:val="nil"/>
            </w:tcBorders>
          </w:tcPr>
          <w:p w14:paraId="64A46946" w14:textId="45B0DC98" w:rsidR="00CD0D28" w:rsidRPr="007F78BA" w:rsidRDefault="00CD0D28" w:rsidP="002A5CF5">
            <w:pPr>
              <w:widowControl w:val="0"/>
              <w:autoSpaceDE w:val="0"/>
              <w:autoSpaceDN w:val="0"/>
              <w:adjustRightInd w:val="0"/>
              <w:jc w:val="right"/>
              <w:rPr>
                <w:rFonts w:ascii="Times New Roman" w:hAnsi="Times New Roman" w:cs="Times New Roman"/>
                <w:b/>
                <w:sz w:val="20"/>
                <w:szCs w:val="20"/>
                <w:lang w:val="en-GB"/>
              </w:rPr>
            </w:pPr>
            <w:r w:rsidRPr="007F78BA">
              <w:rPr>
                <w:rFonts w:ascii="Times New Roman" w:hAnsi="Times New Roman" w:cs="Times New Roman"/>
                <w:b/>
                <w:sz w:val="20"/>
                <w:szCs w:val="20"/>
                <w:lang w:val="en-GB"/>
              </w:rPr>
              <w:t>2.0</w:t>
            </w:r>
          </w:p>
        </w:tc>
      </w:tr>
      <w:tr w:rsidR="00CD0D28" w:rsidRPr="007F78BA" w14:paraId="593B0D21" w14:textId="77777777" w:rsidTr="002A5CF5">
        <w:trPr>
          <w:trHeight w:val="275"/>
          <w:jc w:val="center"/>
        </w:trPr>
        <w:tc>
          <w:tcPr>
            <w:tcW w:w="2429" w:type="dxa"/>
            <w:tcBorders>
              <w:top w:val="nil"/>
              <w:left w:val="nil"/>
              <w:bottom w:val="nil"/>
              <w:right w:val="nil"/>
            </w:tcBorders>
          </w:tcPr>
          <w:p w14:paraId="2867859C" w14:textId="77777777" w:rsidR="00CD0D28" w:rsidRPr="007F78BA" w:rsidRDefault="00CD0D28" w:rsidP="002A5CF5">
            <w:pPr>
              <w:widowControl w:val="0"/>
              <w:autoSpaceDE w:val="0"/>
              <w:autoSpaceDN w:val="0"/>
              <w:adjustRightInd w:val="0"/>
              <w:rPr>
                <w:rFonts w:ascii="Times New Roman" w:hAnsi="Times New Roman" w:cs="Times New Roman"/>
                <w:sz w:val="20"/>
                <w:szCs w:val="20"/>
                <w:lang w:val="en-GB"/>
              </w:rPr>
            </w:pPr>
            <w:r w:rsidRPr="007F78BA">
              <w:rPr>
                <w:rFonts w:ascii="Times New Roman" w:hAnsi="Times New Roman" w:cs="Times New Roman"/>
                <w:sz w:val="20"/>
                <w:szCs w:val="20"/>
                <w:lang w:val="en-GB"/>
              </w:rPr>
              <w:t xml:space="preserve"> IH3</w:t>
            </w:r>
          </w:p>
        </w:tc>
        <w:tc>
          <w:tcPr>
            <w:tcW w:w="832" w:type="dxa"/>
            <w:tcBorders>
              <w:top w:val="nil"/>
              <w:left w:val="nil"/>
              <w:bottom w:val="nil"/>
              <w:right w:val="nil"/>
            </w:tcBorders>
          </w:tcPr>
          <w:p w14:paraId="267D7542"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3,902</w:t>
            </w:r>
          </w:p>
        </w:tc>
        <w:tc>
          <w:tcPr>
            <w:tcW w:w="1842" w:type="dxa"/>
            <w:tcBorders>
              <w:top w:val="nil"/>
              <w:left w:val="nil"/>
              <w:bottom w:val="nil"/>
              <w:right w:val="nil"/>
            </w:tcBorders>
          </w:tcPr>
          <w:p w14:paraId="360838AC" w14:textId="7401EAB0" w:rsidR="00CD0D28" w:rsidRPr="007F78BA" w:rsidRDefault="00CD0D28" w:rsidP="002A5CF5">
            <w:pPr>
              <w:widowControl w:val="0"/>
              <w:autoSpaceDE w:val="0"/>
              <w:autoSpaceDN w:val="0"/>
              <w:adjustRightInd w:val="0"/>
              <w:jc w:val="right"/>
              <w:rPr>
                <w:rFonts w:ascii="Times New Roman" w:hAnsi="Times New Roman" w:cs="Times New Roman"/>
                <w:b/>
                <w:sz w:val="20"/>
                <w:szCs w:val="20"/>
                <w:lang w:val="en-GB"/>
              </w:rPr>
            </w:pPr>
            <w:r w:rsidRPr="007F78BA">
              <w:rPr>
                <w:rFonts w:ascii="Times New Roman" w:hAnsi="Times New Roman" w:cs="Times New Roman"/>
                <w:b/>
                <w:sz w:val="20"/>
                <w:szCs w:val="20"/>
                <w:lang w:val="en-GB"/>
              </w:rPr>
              <w:t>1.6</w:t>
            </w:r>
          </w:p>
        </w:tc>
        <w:tc>
          <w:tcPr>
            <w:tcW w:w="1276" w:type="dxa"/>
            <w:gridSpan w:val="2"/>
            <w:tcBorders>
              <w:top w:val="nil"/>
              <w:left w:val="nil"/>
              <w:bottom w:val="nil"/>
              <w:right w:val="nil"/>
            </w:tcBorders>
          </w:tcPr>
          <w:p w14:paraId="7472F433"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672</w:t>
            </w:r>
          </w:p>
        </w:tc>
        <w:tc>
          <w:tcPr>
            <w:tcW w:w="1843" w:type="dxa"/>
            <w:tcBorders>
              <w:top w:val="nil"/>
              <w:left w:val="nil"/>
              <w:bottom w:val="nil"/>
              <w:right w:val="nil"/>
            </w:tcBorders>
          </w:tcPr>
          <w:p w14:paraId="790F40EF" w14:textId="2D0B9693" w:rsidR="00CD0D28" w:rsidRPr="007F78BA" w:rsidRDefault="00CD0D28" w:rsidP="002A5CF5">
            <w:pPr>
              <w:widowControl w:val="0"/>
              <w:autoSpaceDE w:val="0"/>
              <w:autoSpaceDN w:val="0"/>
              <w:adjustRightInd w:val="0"/>
              <w:jc w:val="right"/>
              <w:rPr>
                <w:rFonts w:ascii="Times New Roman" w:hAnsi="Times New Roman" w:cs="Times New Roman"/>
                <w:b/>
                <w:sz w:val="20"/>
                <w:szCs w:val="20"/>
                <w:lang w:val="en-GB"/>
              </w:rPr>
            </w:pPr>
            <w:r w:rsidRPr="007F78BA">
              <w:rPr>
                <w:rFonts w:ascii="Times New Roman" w:hAnsi="Times New Roman" w:cs="Times New Roman"/>
                <w:b/>
                <w:sz w:val="20"/>
                <w:szCs w:val="20"/>
                <w:lang w:val="en-GB"/>
              </w:rPr>
              <w:t>3.1</w:t>
            </w:r>
          </w:p>
        </w:tc>
      </w:tr>
      <w:tr w:rsidR="00CD0D28" w:rsidRPr="007F78BA" w14:paraId="038606B3" w14:textId="77777777" w:rsidTr="002A5CF5">
        <w:trPr>
          <w:trHeight w:val="275"/>
          <w:jc w:val="center"/>
        </w:trPr>
        <w:tc>
          <w:tcPr>
            <w:tcW w:w="2429" w:type="dxa"/>
            <w:tcBorders>
              <w:top w:val="nil"/>
              <w:left w:val="nil"/>
              <w:bottom w:val="nil"/>
              <w:right w:val="nil"/>
            </w:tcBorders>
          </w:tcPr>
          <w:p w14:paraId="49739204" w14:textId="77777777" w:rsidR="00CD0D28" w:rsidRPr="007F78BA" w:rsidRDefault="00CD0D28" w:rsidP="002A5CF5">
            <w:pPr>
              <w:widowControl w:val="0"/>
              <w:autoSpaceDE w:val="0"/>
              <w:autoSpaceDN w:val="0"/>
              <w:adjustRightInd w:val="0"/>
              <w:rPr>
                <w:rFonts w:ascii="Times New Roman" w:hAnsi="Times New Roman" w:cs="Times New Roman"/>
                <w:sz w:val="20"/>
                <w:szCs w:val="20"/>
                <w:lang w:val="en-GB"/>
              </w:rPr>
            </w:pPr>
            <w:r w:rsidRPr="007F78BA">
              <w:rPr>
                <w:rFonts w:ascii="Times New Roman" w:hAnsi="Times New Roman" w:cs="Times New Roman"/>
                <w:sz w:val="20"/>
                <w:szCs w:val="20"/>
                <w:lang w:val="en-GB"/>
              </w:rPr>
              <w:t xml:space="preserve"> IH4</w:t>
            </w:r>
          </w:p>
        </w:tc>
        <w:tc>
          <w:tcPr>
            <w:tcW w:w="832" w:type="dxa"/>
            <w:tcBorders>
              <w:top w:val="nil"/>
              <w:left w:val="nil"/>
              <w:bottom w:val="nil"/>
              <w:right w:val="nil"/>
            </w:tcBorders>
          </w:tcPr>
          <w:p w14:paraId="71B573EC"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3,902</w:t>
            </w:r>
          </w:p>
        </w:tc>
        <w:tc>
          <w:tcPr>
            <w:tcW w:w="1842" w:type="dxa"/>
            <w:tcBorders>
              <w:top w:val="nil"/>
              <w:left w:val="nil"/>
              <w:bottom w:val="nil"/>
              <w:right w:val="nil"/>
            </w:tcBorders>
          </w:tcPr>
          <w:p w14:paraId="592D2815" w14:textId="3E46F0D7" w:rsidR="00CD0D28" w:rsidRPr="007F78BA" w:rsidRDefault="00CD0D28" w:rsidP="002A5CF5">
            <w:pPr>
              <w:widowControl w:val="0"/>
              <w:autoSpaceDE w:val="0"/>
              <w:autoSpaceDN w:val="0"/>
              <w:adjustRightInd w:val="0"/>
              <w:jc w:val="right"/>
              <w:rPr>
                <w:rFonts w:ascii="Times New Roman" w:hAnsi="Times New Roman" w:cs="Times New Roman"/>
                <w:b/>
                <w:sz w:val="20"/>
                <w:szCs w:val="20"/>
                <w:lang w:val="en-GB"/>
              </w:rPr>
            </w:pPr>
            <w:r w:rsidRPr="007F78BA">
              <w:rPr>
                <w:rFonts w:ascii="Times New Roman" w:hAnsi="Times New Roman" w:cs="Times New Roman"/>
                <w:b/>
                <w:sz w:val="20"/>
                <w:szCs w:val="20"/>
                <w:lang w:val="en-GB"/>
              </w:rPr>
              <w:t>1.</w:t>
            </w:r>
            <w:r w:rsidR="00890551">
              <w:rPr>
                <w:rFonts w:ascii="Times New Roman" w:hAnsi="Times New Roman" w:cs="Times New Roman"/>
                <w:b/>
                <w:sz w:val="20"/>
                <w:szCs w:val="20"/>
                <w:lang w:val="en-GB"/>
              </w:rPr>
              <w:t>7</w:t>
            </w:r>
          </w:p>
        </w:tc>
        <w:tc>
          <w:tcPr>
            <w:tcW w:w="1276" w:type="dxa"/>
            <w:gridSpan w:val="2"/>
            <w:tcBorders>
              <w:top w:val="nil"/>
              <w:left w:val="nil"/>
              <w:bottom w:val="nil"/>
              <w:right w:val="nil"/>
            </w:tcBorders>
          </w:tcPr>
          <w:p w14:paraId="34679781"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672</w:t>
            </w:r>
          </w:p>
        </w:tc>
        <w:tc>
          <w:tcPr>
            <w:tcW w:w="1843" w:type="dxa"/>
            <w:tcBorders>
              <w:top w:val="nil"/>
              <w:left w:val="nil"/>
              <w:bottom w:val="nil"/>
              <w:right w:val="nil"/>
            </w:tcBorders>
          </w:tcPr>
          <w:p w14:paraId="052BFC98" w14:textId="309C59B3" w:rsidR="00CD0D28" w:rsidRPr="007F78BA" w:rsidRDefault="00CD0D28" w:rsidP="002A5CF5">
            <w:pPr>
              <w:widowControl w:val="0"/>
              <w:autoSpaceDE w:val="0"/>
              <w:autoSpaceDN w:val="0"/>
              <w:adjustRightInd w:val="0"/>
              <w:jc w:val="right"/>
              <w:rPr>
                <w:rFonts w:ascii="Times New Roman" w:hAnsi="Times New Roman" w:cs="Times New Roman"/>
                <w:b/>
                <w:sz w:val="20"/>
                <w:szCs w:val="20"/>
                <w:lang w:val="en-GB"/>
              </w:rPr>
            </w:pPr>
            <w:r w:rsidRPr="007F78BA">
              <w:rPr>
                <w:rFonts w:ascii="Times New Roman" w:hAnsi="Times New Roman" w:cs="Times New Roman"/>
                <w:b/>
                <w:sz w:val="20"/>
                <w:szCs w:val="20"/>
                <w:lang w:val="en-GB"/>
              </w:rPr>
              <w:t>3.0</w:t>
            </w:r>
          </w:p>
        </w:tc>
      </w:tr>
      <w:tr w:rsidR="00CD0D28" w:rsidRPr="007F78BA" w14:paraId="3BD72F80" w14:textId="77777777" w:rsidTr="002A5CF5">
        <w:trPr>
          <w:trHeight w:val="275"/>
          <w:jc w:val="center"/>
        </w:trPr>
        <w:tc>
          <w:tcPr>
            <w:tcW w:w="2429" w:type="dxa"/>
            <w:tcBorders>
              <w:top w:val="nil"/>
              <w:left w:val="nil"/>
              <w:bottom w:val="nil"/>
              <w:right w:val="nil"/>
            </w:tcBorders>
          </w:tcPr>
          <w:p w14:paraId="47BBAC56" w14:textId="77777777" w:rsidR="00CD0D28" w:rsidRPr="007F78BA" w:rsidRDefault="00CD0D28" w:rsidP="002A5CF5">
            <w:pPr>
              <w:widowControl w:val="0"/>
              <w:autoSpaceDE w:val="0"/>
              <w:autoSpaceDN w:val="0"/>
              <w:adjustRightInd w:val="0"/>
              <w:rPr>
                <w:rFonts w:ascii="Times New Roman" w:hAnsi="Times New Roman" w:cs="Times New Roman"/>
                <w:sz w:val="20"/>
                <w:szCs w:val="20"/>
                <w:lang w:val="en-GB"/>
              </w:rPr>
            </w:pPr>
            <w:r w:rsidRPr="007F78BA">
              <w:rPr>
                <w:rFonts w:ascii="Times New Roman" w:hAnsi="Times New Roman" w:cs="Times New Roman"/>
                <w:sz w:val="20"/>
                <w:szCs w:val="20"/>
                <w:lang w:val="en-GB"/>
              </w:rPr>
              <w:t xml:space="preserve"> IH5</w:t>
            </w:r>
          </w:p>
        </w:tc>
        <w:tc>
          <w:tcPr>
            <w:tcW w:w="832" w:type="dxa"/>
            <w:tcBorders>
              <w:top w:val="nil"/>
              <w:left w:val="nil"/>
              <w:bottom w:val="nil"/>
              <w:right w:val="nil"/>
            </w:tcBorders>
          </w:tcPr>
          <w:p w14:paraId="05CF38A3"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3,902</w:t>
            </w:r>
          </w:p>
        </w:tc>
        <w:tc>
          <w:tcPr>
            <w:tcW w:w="1842" w:type="dxa"/>
            <w:tcBorders>
              <w:top w:val="nil"/>
              <w:left w:val="nil"/>
              <w:bottom w:val="nil"/>
              <w:right w:val="nil"/>
            </w:tcBorders>
          </w:tcPr>
          <w:p w14:paraId="79BC6D13" w14:textId="42924A09" w:rsidR="00CD0D28" w:rsidRPr="007F78BA" w:rsidRDefault="00CD0D28" w:rsidP="002A5CF5">
            <w:pPr>
              <w:widowControl w:val="0"/>
              <w:autoSpaceDE w:val="0"/>
              <w:autoSpaceDN w:val="0"/>
              <w:adjustRightInd w:val="0"/>
              <w:jc w:val="right"/>
              <w:rPr>
                <w:rFonts w:ascii="Times New Roman" w:hAnsi="Times New Roman" w:cs="Times New Roman"/>
                <w:b/>
                <w:sz w:val="20"/>
                <w:szCs w:val="20"/>
                <w:lang w:val="en-GB"/>
              </w:rPr>
            </w:pPr>
            <w:r w:rsidRPr="007F78BA">
              <w:rPr>
                <w:rFonts w:ascii="Times New Roman" w:hAnsi="Times New Roman" w:cs="Times New Roman"/>
                <w:b/>
                <w:sz w:val="20"/>
                <w:szCs w:val="20"/>
                <w:lang w:val="en-GB"/>
              </w:rPr>
              <w:t>1.0</w:t>
            </w:r>
          </w:p>
        </w:tc>
        <w:tc>
          <w:tcPr>
            <w:tcW w:w="1276" w:type="dxa"/>
            <w:gridSpan w:val="2"/>
            <w:tcBorders>
              <w:top w:val="nil"/>
              <w:left w:val="nil"/>
              <w:bottom w:val="nil"/>
              <w:right w:val="nil"/>
            </w:tcBorders>
          </w:tcPr>
          <w:p w14:paraId="4CB16405"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672</w:t>
            </w:r>
          </w:p>
        </w:tc>
        <w:tc>
          <w:tcPr>
            <w:tcW w:w="1843" w:type="dxa"/>
            <w:tcBorders>
              <w:top w:val="nil"/>
              <w:left w:val="nil"/>
              <w:bottom w:val="nil"/>
              <w:right w:val="nil"/>
            </w:tcBorders>
          </w:tcPr>
          <w:p w14:paraId="4C56DFDE" w14:textId="7929E8C3" w:rsidR="00CD0D28" w:rsidRPr="007F78BA" w:rsidRDefault="00CD0D28" w:rsidP="002A5CF5">
            <w:pPr>
              <w:widowControl w:val="0"/>
              <w:autoSpaceDE w:val="0"/>
              <w:autoSpaceDN w:val="0"/>
              <w:adjustRightInd w:val="0"/>
              <w:jc w:val="right"/>
              <w:rPr>
                <w:rFonts w:ascii="Times New Roman" w:hAnsi="Times New Roman" w:cs="Times New Roman"/>
                <w:b/>
                <w:sz w:val="20"/>
                <w:szCs w:val="20"/>
                <w:lang w:val="en-GB"/>
              </w:rPr>
            </w:pPr>
            <w:r w:rsidRPr="007F78BA">
              <w:rPr>
                <w:rFonts w:ascii="Times New Roman" w:hAnsi="Times New Roman" w:cs="Times New Roman"/>
                <w:b/>
                <w:sz w:val="20"/>
                <w:szCs w:val="20"/>
                <w:lang w:val="en-GB"/>
              </w:rPr>
              <w:t>2.2</w:t>
            </w:r>
          </w:p>
        </w:tc>
      </w:tr>
      <w:tr w:rsidR="00CD0D28" w:rsidRPr="007F78BA" w14:paraId="3929FA14" w14:textId="77777777" w:rsidTr="002A5CF5">
        <w:trPr>
          <w:trHeight w:val="275"/>
          <w:jc w:val="center"/>
        </w:trPr>
        <w:tc>
          <w:tcPr>
            <w:tcW w:w="2429" w:type="dxa"/>
            <w:tcBorders>
              <w:top w:val="nil"/>
              <w:left w:val="nil"/>
              <w:bottom w:val="nil"/>
              <w:right w:val="nil"/>
            </w:tcBorders>
          </w:tcPr>
          <w:p w14:paraId="494611E6" w14:textId="77777777" w:rsidR="00CD0D28" w:rsidRPr="007F78BA" w:rsidRDefault="00CD0D28" w:rsidP="002A5CF5">
            <w:pPr>
              <w:widowControl w:val="0"/>
              <w:autoSpaceDE w:val="0"/>
              <w:autoSpaceDN w:val="0"/>
              <w:adjustRightInd w:val="0"/>
              <w:rPr>
                <w:rFonts w:ascii="Times New Roman" w:hAnsi="Times New Roman" w:cs="Times New Roman"/>
                <w:sz w:val="20"/>
                <w:szCs w:val="20"/>
                <w:lang w:val="en-GB"/>
              </w:rPr>
            </w:pPr>
            <w:r w:rsidRPr="007F78BA">
              <w:rPr>
                <w:rFonts w:ascii="Times New Roman" w:hAnsi="Times New Roman" w:cs="Times New Roman"/>
                <w:sz w:val="20"/>
                <w:szCs w:val="20"/>
                <w:lang w:val="en-GB"/>
              </w:rPr>
              <w:t xml:space="preserve"> IH6</w:t>
            </w:r>
          </w:p>
        </w:tc>
        <w:tc>
          <w:tcPr>
            <w:tcW w:w="832" w:type="dxa"/>
            <w:tcBorders>
              <w:top w:val="nil"/>
              <w:left w:val="nil"/>
              <w:bottom w:val="nil"/>
              <w:right w:val="nil"/>
            </w:tcBorders>
          </w:tcPr>
          <w:p w14:paraId="20297A93"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3,902</w:t>
            </w:r>
          </w:p>
        </w:tc>
        <w:tc>
          <w:tcPr>
            <w:tcW w:w="1842" w:type="dxa"/>
            <w:tcBorders>
              <w:top w:val="nil"/>
              <w:left w:val="nil"/>
              <w:bottom w:val="nil"/>
              <w:right w:val="nil"/>
            </w:tcBorders>
          </w:tcPr>
          <w:p w14:paraId="725020F5" w14:textId="012F249F" w:rsidR="00CD0D28" w:rsidRPr="007F78BA" w:rsidRDefault="00CD0D28" w:rsidP="002A5CF5">
            <w:pPr>
              <w:widowControl w:val="0"/>
              <w:autoSpaceDE w:val="0"/>
              <w:autoSpaceDN w:val="0"/>
              <w:adjustRightInd w:val="0"/>
              <w:jc w:val="right"/>
              <w:rPr>
                <w:rFonts w:ascii="Times New Roman" w:hAnsi="Times New Roman" w:cs="Times New Roman"/>
                <w:b/>
                <w:sz w:val="20"/>
                <w:szCs w:val="20"/>
                <w:lang w:val="en-GB"/>
              </w:rPr>
            </w:pPr>
            <w:r w:rsidRPr="007F78BA">
              <w:rPr>
                <w:rFonts w:ascii="Times New Roman" w:hAnsi="Times New Roman" w:cs="Times New Roman"/>
                <w:b/>
                <w:sz w:val="20"/>
                <w:szCs w:val="20"/>
                <w:lang w:val="en-GB"/>
              </w:rPr>
              <w:t>0.4</w:t>
            </w:r>
          </w:p>
        </w:tc>
        <w:tc>
          <w:tcPr>
            <w:tcW w:w="1276" w:type="dxa"/>
            <w:gridSpan w:val="2"/>
            <w:tcBorders>
              <w:top w:val="nil"/>
              <w:left w:val="nil"/>
              <w:bottom w:val="nil"/>
              <w:right w:val="nil"/>
            </w:tcBorders>
          </w:tcPr>
          <w:p w14:paraId="070D42C1"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672</w:t>
            </w:r>
          </w:p>
        </w:tc>
        <w:tc>
          <w:tcPr>
            <w:tcW w:w="1843" w:type="dxa"/>
            <w:tcBorders>
              <w:top w:val="nil"/>
              <w:left w:val="nil"/>
              <w:bottom w:val="nil"/>
              <w:right w:val="nil"/>
            </w:tcBorders>
          </w:tcPr>
          <w:p w14:paraId="22C6A162" w14:textId="2694A0E2" w:rsidR="00CD0D28" w:rsidRPr="007F78BA" w:rsidRDefault="00CD0D28" w:rsidP="002A5CF5">
            <w:pPr>
              <w:widowControl w:val="0"/>
              <w:autoSpaceDE w:val="0"/>
              <w:autoSpaceDN w:val="0"/>
              <w:adjustRightInd w:val="0"/>
              <w:jc w:val="right"/>
              <w:rPr>
                <w:rFonts w:ascii="Times New Roman" w:hAnsi="Times New Roman" w:cs="Times New Roman"/>
                <w:b/>
                <w:sz w:val="20"/>
                <w:szCs w:val="20"/>
                <w:lang w:val="en-GB"/>
              </w:rPr>
            </w:pPr>
            <w:r w:rsidRPr="007F78BA">
              <w:rPr>
                <w:rFonts w:ascii="Times New Roman" w:hAnsi="Times New Roman" w:cs="Times New Roman"/>
                <w:b/>
                <w:sz w:val="20"/>
                <w:szCs w:val="20"/>
                <w:lang w:val="en-GB"/>
              </w:rPr>
              <w:t>1.3</w:t>
            </w:r>
          </w:p>
        </w:tc>
      </w:tr>
      <w:tr w:rsidR="00CD0D28" w:rsidRPr="007F78BA" w14:paraId="767E9FCB" w14:textId="77777777" w:rsidTr="002A5CF5">
        <w:trPr>
          <w:trHeight w:val="297"/>
          <w:jc w:val="center"/>
        </w:trPr>
        <w:tc>
          <w:tcPr>
            <w:tcW w:w="2429" w:type="dxa"/>
            <w:tcBorders>
              <w:top w:val="nil"/>
              <w:left w:val="nil"/>
              <w:bottom w:val="nil"/>
              <w:right w:val="nil"/>
            </w:tcBorders>
          </w:tcPr>
          <w:p w14:paraId="1A6BA410" w14:textId="77777777" w:rsidR="00CD0D28" w:rsidRPr="007F78BA" w:rsidRDefault="00CD0D28" w:rsidP="002A5CF5">
            <w:pPr>
              <w:widowControl w:val="0"/>
              <w:autoSpaceDE w:val="0"/>
              <w:autoSpaceDN w:val="0"/>
              <w:adjustRightInd w:val="0"/>
              <w:rPr>
                <w:rFonts w:ascii="Times New Roman" w:hAnsi="Times New Roman" w:cs="Times New Roman"/>
                <w:sz w:val="20"/>
                <w:szCs w:val="20"/>
                <w:lang w:val="en-GB"/>
              </w:rPr>
            </w:pPr>
            <w:r w:rsidRPr="007F78BA">
              <w:rPr>
                <w:rFonts w:ascii="Times New Roman" w:hAnsi="Times New Roman" w:cs="Times New Roman"/>
                <w:sz w:val="20"/>
                <w:szCs w:val="20"/>
                <w:lang w:val="en-GB"/>
              </w:rPr>
              <w:t xml:space="preserve"> IH7</w:t>
            </w:r>
          </w:p>
        </w:tc>
        <w:tc>
          <w:tcPr>
            <w:tcW w:w="832" w:type="dxa"/>
            <w:tcBorders>
              <w:top w:val="nil"/>
              <w:left w:val="nil"/>
              <w:bottom w:val="nil"/>
              <w:right w:val="nil"/>
            </w:tcBorders>
          </w:tcPr>
          <w:p w14:paraId="2E81C8A3"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3,902</w:t>
            </w:r>
          </w:p>
        </w:tc>
        <w:tc>
          <w:tcPr>
            <w:tcW w:w="1842" w:type="dxa"/>
            <w:tcBorders>
              <w:top w:val="nil"/>
              <w:left w:val="nil"/>
              <w:bottom w:val="nil"/>
              <w:right w:val="nil"/>
            </w:tcBorders>
          </w:tcPr>
          <w:p w14:paraId="43FAF25A" w14:textId="089CAA14" w:rsidR="00CD0D28" w:rsidRPr="007F78BA" w:rsidRDefault="00CD0D28" w:rsidP="002A5CF5">
            <w:pPr>
              <w:widowControl w:val="0"/>
              <w:autoSpaceDE w:val="0"/>
              <w:autoSpaceDN w:val="0"/>
              <w:adjustRightInd w:val="0"/>
              <w:jc w:val="right"/>
              <w:rPr>
                <w:rFonts w:ascii="Times New Roman" w:hAnsi="Times New Roman" w:cs="Times New Roman"/>
                <w:b/>
                <w:sz w:val="20"/>
                <w:szCs w:val="20"/>
                <w:lang w:val="en-GB"/>
              </w:rPr>
            </w:pPr>
            <w:r w:rsidRPr="007F78BA">
              <w:rPr>
                <w:rFonts w:ascii="Times New Roman" w:hAnsi="Times New Roman" w:cs="Times New Roman"/>
                <w:b/>
                <w:sz w:val="20"/>
                <w:szCs w:val="20"/>
                <w:lang w:val="en-GB"/>
              </w:rPr>
              <w:t>1.3</w:t>
            </w:r>
          </w:p>
        </w:tc>
        <w:tc>
          <w:tcPr>
            <w:tcW w:w="1276" w:type="dxa"/>
            <w:gridSpan w:val="2"/>
            <w:tcBorders>
              <w:top w:val="nil"/>
              <w:left w:val="nil"/>
              <w:bottom w:val="nil"/>
              <w:right w:val="nil"/>
            </w:tcBorders>
          </w:tcPr>
          <w:p w14:paraId="0D303812"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672</w:t>
            </w:r>
          </w:p>
        </w:tc>
        <w:tc>
          <w:tcPr>
            <w:tcW w:w="1843" w:type="dxa"/>
            <w:tcBorders>
              <w:top w:val="nil"/>
              <w:left w:val="nil"/>
              <w:bottom w:val="nil"/>
              <w:right w:val="nil"/>
            </w:tcBorders>
          </w:tcPr>
          <w:p w14:paraId="0DE3C80F" w14:textId="652C0969" w:rsidR="00CD0D28" w:rsidRPr="007F78BA" w:rsidRDefault="00CD0D28" w:rsidP="002A5CF5">
            <w:pPr>
              <w:widowControl w:val="0"/>
              <w:autoSpaceDE w:val="0"/>
              <w:autoSpaceDN w:val="0"/>
              <w:adjustRightInd w:val="0"/>
              <w:jc w:val="right"/>
              <w:rPr>
                <w:rFonts w:ascii="Times New Roman" w:hAnsi="Times New Roman" w:cs="Times New Roman"/>
                <w:b/>
                <w:sz w:val="20"/>
                <w:szCs w:val="20"/>
                <w:lang w:val="en-GB"/>
              </w:rPr>
            </w:pPr>
            <w:r w:rsidRPr="007F78BA">
              <w:rPr>
                <w:rFonts w:ascii="Times New Roman" w:hAnsi="Times New Roman" w:cs="Times New Roman"/>
                <w:b/>
                <w:sz w:val="20"/>
                <w:szCs w:val="20"/>
                <w:lang w:val="en-GB"/>
              </w:rPr>
              <w:t>2.</w:t>
            </w:r>
            <w:r w:rsidR="003803C1">
              <w:rPr>
                <w:rFonts w:ascii="Times New Roman" w:hAnsi="Times New Roman" w:cs="Times New Roman"/>
                <w:b/>
                <w:sz w:val="20"/>
                <w:szCs w:val="20"/>
                <w:lang w:val="en-GB"/>
              </w:rPr>
              <w:t>4</w:t>
            </w:r>
          </w:p>
        </w:tc>
      </w:tr>
      <w:tr w:rsidR="00CD0D28" w:rsidRPr="007F78BA" w14:paraId="4989434C" w14:textId="77777777" w:rsidTr="002A5CF5">
        <w:trPr>
          <w:trHeight w:val="552"/>
          <w:jc w:val="center"/>
        </w:trPr>
        <w:tc>
          <w:tcPr>
            <w:tcW w:w="2429" w:type="dxa"/>
            <w:tcBorders>
              <w:top w:val="nil"/>
              <w:left w:val="nil"/>
              <w:bottom w:val="nil"/>
              <w:right w:val="nil"/>
            </w:tcBorders>
          </w:tcPr>
          <w:p w14:paraId="72C51F5C" w14:textId="77777777" w:rsidR="00CD0D28" w:rsidRPr="007F78BA" w:rsidRDefault="00CD0D28" w:rsidP="002A5CF5">
            <w:pPr>
              <w:widowControl w:val="0"/>
              <w:autoSpaceDE w:val="0"/>
              <w:autoSpaceDN w:val="0"/>
              <w:adjustRightInd w:val="0"/>
              <w:rPr>
                <w:rFonts w:ascii="Times New Roman" w:hAnsi="Times New Roman" w:cs="Times New Roman"/>
                <w:b/>
                <w:sz w:val="20"/>
                <w:szCs w:val="20"/>
                <w:lang w:val="en-GB"/>
              </w:rPr>
            </w:pPr>
            <w:r w:rsidRPr="007F78BA">
              <w:rPr>
                <w:rFonts w:ascii="Times New Roman" w:hAnsi="Times New Roman" w:cs="Times New Roman"/>
                <w:b/>
                <w:sz w:val="20"/>
                <w:szCs w:val="20"/>
                <w:lang w:val="en-GB"/>
              </w:rPr>
              <w:t xml:space="preserve"> </w:t>
            </w:r>
          </w:p>
          <w:p w14:paraId="0F510CED" w14:textId="77777777" w:rsidR="00CD0D28" w:rsidRPr="007F78BA" w:rsidRDefault="00CD0D28" w:rsidP="002A5CF5">
            <w:pPr>
              <w:widowControl w:val="0"/>
              <w:autoSpaceDE w:val="0"/>
              <w:autoSpaceDN w:val="0"/>
              <w:adjustRightInd w:val="0"/>
              <w:rPr>
                <w:rFonts w:ascii="Times New Roman" w:hAnsi="Times New Roman" w:cs="Times New Roman"/>
                <w:b/>
                <w:sz w:val="20"/>
                <w:szCs w:val="20"/>
                <w:lang w:val="en-GB"/>
              </w:rPr>
            </w:pPr>
            <w:r w:rsidRPr="007F78BA">
              <w:rPr>
                <w:rFonts w:ascii="Times New Roman" w:hAnsi="Times New Roman" w:cs="Times New Roman"/>
                <w:b/>
                <w:sz w:val="20"/>
                <w:szCs w:val="20"/>
                <w:lang w:val="en-GB"/>
              </w:rPr>
              <w:t xml:space="preserve">HPK Score </w:t>
            </w:r>
            <w:r w:rsidRPr="007F78BA">
              <w:rPr>
                <w:rFonts w:ascii="Times New Roman" w:hAnsi="Times New Roman" w:cs="Times New Roman"/>
                <w:b/>
                <w:sz w:val="20"/>
                <w:szCs w:val="20"/>
                <w:lang w:val="en-GB"/>
              </w:rPr>
              <w:br/>
              <w:t>(range: 1–10)</w:t>
            </w:r>
          </w:p>
        </w:tc>
        <w:tc>
          <w:tcPr>
            <w:tcW w:w="832" w:type="dxa"/>
            <w:tcBorders>
              <w:top w:val="nil"/>
              <w:left w:val="nil"/>
              <w:bottom w:val="nil"/>
              <w:right w:val="nil"/>
            </w:tcBorders>
          </w:tcPr>
          <w:p w14:paraId="3369A75B" w14:textId="77777777" w:rsidR="00CD0D28" w:rsidRPr="007F78BA" w:rsidRDefault="00CD0D28" w:rsidP="002A5CF5">
            <w:pPr>
              <w:widowControl w:val="0"/>
              <w:autoSpaceDE w:val="0"/>
              <w:autoSpaceDN w:val="0"/>
              <w:adjustRightInd w:val="0"/>
              <w:jc w:val="right"/>
              <w:rPr>
                <w:rFonts w:ascii="Times New Roman" w:hAnsi="Times New Roman" w:cs="Times New Roman"/>
                <w:b/>
                <w:sz w:val="20"/>
                <w:szCs w:val="20"/>
                <w:lang w:val="en-GB"/>
              </w:rPr>
            </w:pPr>
          </w:p>
          <w:p w14:paraId="77461DEE"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3,838</w:t>
            </w:r>
          </w:p>
        </w:tc>
        <w:tc>
          <w:tcPr>
            <w:tcW w:w="1842" w:type="dxa"/>
            <w:tcBorders>
              <w:top w:val="nil"/>
              <w:left w:val="nil"/>
              <w:bottom w:val="nil"/>
              <w:right w:val="nil"/>
            </w:tcBorders>
          </w:tcPr>
          <w:p w14:paraId="57F7256D"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p>
          <w:p w14:paraId="3F63AB14" w14:textId="7D356B39" w:rsidR="00CD0D28" w:rsidRPr="007F78BA" w:rsidRDefault="00CD0D28" w:rsidP="002A5CF5">
            <w:pPr>
              <w:widowControl w:val="0"/>
              <w:autoSpaceDE w:val="0"/>
              <w:autoSpaceDN w:val="0"/>
              <w:adjustRightInd w:val="0"/>
              <w:jc w:val="right"/>
              <w:rPr>
                <w:rFonts w:ascii="Times New Roman" w:hAnsi="Times New Roman" w:cs="Times New Roman"/>
                <w:b/>
                <w:sz w:val="20"/>
                <w:szCs w:val="20"/>
                <w:lang w:val="en-GB"/>
              </w:rPr>
            </w:pPr>
            <w:r w:rsidRPr="007F78BA">
              <w:rPr>
                <w:rFonts w:ascii="Times New Roman" w:hAnsi="Times New Roman" w:cs="Times New Roman"/>
                <w:b/>
                <w:sz w:val="20"/>
                <w:szCs w:val="20"/>
                <w:lang w:val="en-GB"/>
              </w:rPr>
              <w:t>7.1</w:t>
            </w:r>
          </w:p>
        </w:tc>
        <w:tc>
          <w:tcPr>
            <w:tcW w:w="1276" w:type="dxa"/>
            <w:gridSpan w:val="2"/>
            <w:tcBorders>
              <w:top w:val="nil"/>
              <w:left w:val="nil"/>
              <w:bottom w:val="nil"/>
              <w:right w:val="nil"/>
            </w:tcBorders>
          </w:tcPr>
          <w:p w14:paraId="6DA6E7FE"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p>
          <w:p w14:paraId="371EF149"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660</w:t>
            </w:r>
          </w:p>
        </w:tc>
        <w:tc>
          <w:tcPr>
            <w:tcW w:w="1843" w:type="dxa"/>
            <w:tcBorders>
              <w:top w:val="nil"/>
              <w:left w:val="nil"/>
              <w:bottom w:val="nil"/>
              <w:right w:val="nil"/>
            </w:tcBorders>
          </w:tcPr>
          <w:p w14:paraId="391B5AA8"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p>
          <w:p w14:paraId="6971B067" w14:textId="6571F608" w:rsidR="00CD0D28" w:rsidRPr="007F78BA" w:rsidRDefault="00CD0D28" w:rsidP="002A5CF5">
            <w:pPr>
              <w:widowControl w:val="0"/>
              <w:autoSpaceDE w:val="0"/>
              <w:autoSpaceDN w:val="0"/>
              <w:adjustRightInd w:val="0"/>
              <w:jc w:val="right"/>
              <w:rPr>
                <w:rFonts w:ascii="Times New Roman" w:hAnsi="Times New Roman" w:cs="Times New Roman"/>
                <w:b/>
                <w:sz w:val="20"/>
                <w:szCs w:val="20"/>
                <w:lang w:val="en-GB"/>
              </w:rPr>
            </w:pPr>
            <w:r w:rsidRPr="007F78BA">
              <w:rPr>
                <w:rFonts w:ascii="Times New Roman" w:hAnsi="Times New Roman" w:cs="Times New Roman"/>
                <w:b/>
                <w:sz w:val="20"/>
                <w:szCs w:val="20"/>
                <w:lang w:val="en-GB"/>
              </w:rPr>
              <w:t>6.0</w:t>
            </w:r>
          </w:p>
        </w:tc>
      </w:tr>
      <w:tr w:rsidR="00CD0D28" w:rsidRPr="007F78BA" w14:paraId="1CE8B443" w14:textId="77777777" w:rsidTr="002A5CF5">
        <w:trPr>
          <w:trHeight w:val="275"/>
          <w:jc w:val="center"/>
        </w:trPr>
        <w:tc>
          <w:tcPr>
            <w:tcW w:w="2429" w:type="dxa"/>
            <w:tcBorders>
              <w:top w:val="nil"/>
              <w:left w:val="nil"/>
              <w:bottom w:val="nil"/>
              <w:right w:val="nil"/>
            </w:tcBorders>
          </w:tcPr>
          <w:p w14:paraId="31E79952" w14:textId="77777777" w:rsidR="00CD0D28" w:rsidRPr="007F78BA" w:rsidRDefault="00CD0D28" w:rsidP="002A5CF5">
            <w:pPr>
              <w:widowControl w:val="0"/>
              <w:autoSpaceDE w:val="0"/>
              <w:autoSpaceDN w:val="0"/>
              <w:adjustRightInd w:val="0"/>
              <w:rPr>
                <w:rFonts w:ascii="Times New Roman" w:hAnsi="Times New Roman" w:cs="Times New Roman"/>
                <w:sz w:val="20"/>
                <w:szCs w:val="20"/>
                <w:lang w:val="en-GB"/>
              </w:rPr>
            </w:pPr>
          </w:p>
        </w:tc>
        <w:tc>
          <w:tcPr>
            <w:tcW w:w="832" w:type="dxa"/>
            <w:tcBorders>
              <w:top w:val="nil"/>
              <w:left w:val="nil"/>
              <w:bottom w:val="nil"/>
              <w:right w:val="nil"/>
            </w:tcBorders>
          </w:tcPr>
          <w:p w14:paraId="1CF1A90C"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p>
        </w:tc>
        <w:tc>
          <w:tcPr>
            <w:tcW w:w="1842" w:type="dxa"/>
            <w:tcBorders>
              <w:top w:val="nil"/>
              <w:left w:val="nil"/>
              <w:bottom w:val="nil"/>
              <w:right w:val="nil"/>
            </w:tcBorders>
          </w:tcPr>
          <w:p w14:paraId="7DEEE50E"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p>
        </w:tc>
        <w:tc>
          <w:tcPr>
            <w:tcW w:w="1276" w:type="dxa"/>
            <w:gridSpan w:val="2"/>
            <w:tcBorders>
              <w:top w:val="nil"/>
              <w:left w:val="nil"/>
              <w:bottom w:val="nil"/>
              <w:right w:val="nil"/>
            </w:tcBorders>
          </w:tcPr>
          <w:p w14:paraId="50D65706"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p>
        </w:tc>
        <w:tc>
          <w:tcPr>
            <w:tcW w:w="1843" w:type="dxa"/>
            <w:tcBorders>
              <w:top w:val="nil"/>
              <w:left w:val="nil"/>
              <w:bottom w:val="nil"/>
              <w:right w:val="nil"/>
            </w:tcBorders>
          </w:tcPr>
          <w:p w14:paraId="49D574A5"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p>
        </w:tc>
      </w:tr>
      <w:tr w:rsidR="00CD0D28" w:rsidRPr="007F78BA" w14:paraId="55F83384" w14:textId="77777777" w:rsidTr="002A5CF5">
        <w:trPr>
          <w:trHeight w:val="275"/>
          <w:jc w:val="center"/>
        </w:trPr>
        <w:tc>
          <w:tcPr>
            <w:tcW w:w="2429" w:type="dxa"/>
            <w:tcBorders>
              <w:top w:val="nil"/>
              <w:left w:val="nil"/>
              <w:bottom w:val="nil"/>
              <w:right w:val="nil"/>
            </w:tcBorders>
          </w:tcPr>
          <w:p w14:paraId="26582B69" w14:textId="4F646CDF" w:rsidR="00CD0D28" w:rsidRPr="007F78BA" w:rsidRDefault="00E93EC1" w:rsidP="002A5CF5">
            <w:pPr>
              <w:widowControl w:val="0"/>
              <w:autoSpaceDE w:val="0"/>
              <w:autoSpaceDN w:val="0"/>
              <w:adjustRightInd w:val="0"/>
              <w:rPr>
                <w:rFonts w:ascii="Times New Roman" w:hAnsi="Times New Roman" w:cs="Times New Roman"/>
                <w:b/>
                <w:sz w:val="20"/>
                <w:szCs w:val="20"/>
                <w:lang w:val="en-GB"/>
              </w:rPr>
            </w:pPr>
            <w:r>
              <w:rPr>
                <w:rFonts w:ascii="Times New Roman" w:hAnsi="Times New Roman" w:cs="Times New Roman"/>
                <w:b/>
                <w:sz w:val="20"/>
                <w:szCs w:val="20"/>
                <w:lang w:val="en-GB"/>
              </w:rPr>
              <w:t>SUIS</w:t>
            </w:r>
          </w:p>
        </w:tc>
        <w:tc>
          <w:tcPr>
            <w:tcW w:w="832" w:type="dxa"/>
            <w:tcBorders>
              <w:top w:val="nil"/>
              <w:left w:val="nil"/>
              <w:bottom w:val="nil"/>
              <w:right w:val="nil"/>
            </w:tcBorders>
          </w:tcPr>
          <w:p w14:paraId="1F86100C"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3,713</w:t>
            </w:r>
          </w:p>
        </w:tc>
        <w:tc>
          <w:tcPr>
            <w:tcW w:w="1842" w:type="dxa"/>
            <w:tcBorders>
              <w:top w:val="nil"/>
              <w:left w:val="nil"/>
              <w:bottom w:val="nil"/>
              <w:right w:val="nil"/>
            </w:tcBorders>
          </w:tcPr>
          <w:p w14:paraId="752258F9" w14:textId="77777777" w:rsidR="00CD0D28" w:rsidRPr="007F78BA" w:rsidRDefault="00CD0D28" w:rsidP="002A5CF5">
            <w:pPr>
              <w:widowControl w:val="0"/>
              <w:autoSpaceDE w:val="0"/>
              <w:autoSpaceDN w:val="0"/>
              <w:adjustRightInd w:val="0"/>
              <w:jc w:val="right"/>
              <w:rPr>
                <w:rFonts w:ascii="Times New Roman" w:hAnsi="Times New Roman" w:cs="Times New Roman"/>
                <w:b/>
                <w:sz w:val="20"/>
                <w:szCs w:val="20"/>
                <w:lang w:val="en-GB"/>
              </w:rPr>
            </w:pPr>
            <w:r w:rsidRPr="007F78BA">
              <w:rPr>
                <w:rFonts w:ascii="Times New Roman" w:hAnsi="Times New Roman" w:cs="Times New Roman"/>
                <w:sz w:val="20"/>
                <w:szCs w:val="20"/>
                <w:lang w:val="en-GB"/>
              </w:rPr>
              <w:t>-</w:t>
            </w:r>
          </w:p>
        </w:tc>
        <w:tc>
          <w:tcPr>
            <w:tcW w:w="1276" w:type="dxa"/>
            <w:gridSpan w:val="2"/>
            <w:tcBorders>
              <w:top w:val="nil"/>
              <w:left w:val="nil"/>
              <w:bottom w:val="nil"/>
              <w:right w:val="nil"/>
            </w:tcBorders>
          </w:tcPr>
          <w:p w14:paraId="41BC46A3"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611</w:t>
            </w:r>
          </w:p>
        </w:tc>
        <w:tc>
          <w:tcPr>
            <w:tcW w:w="1843" w:type="dxa"/>
            <w:tcBorders>
              <w:top w:val="nil"/>
              <w:left w:val="nil"/>
              <w:bottom w:val="nil"/>
              <w:right w:val="nil"/>
            </w:tcBorders>
          </w:tcPr>
          <w:p w14:paraId="6EEEB08E"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w:t>
            </w:r>
          </w:p>
        </w:tc>
      </w:tr>
      <w:tr w:rsidR="00CD0D28" w:rsidRPr="007F78BA" w14:paraId="5B8457FB" w14:textId="77777777" w:rsidTr="002A5CF5">
        <w:trPr>
          <w:trHeight w:val="275"/>
          <w:jc w:val="center"/>
        </w:trPr>
        <w:tc>
          <w:tcPr>
            <w:tcW w:w="2429" w:type="dxa"/>
            <w:tcBorders>
              <w:top w:val="nil"/>
              <w:left w:val="nil"/>
              <w:bottom w:val="nil"/>
              <w:right w:val="nil"/>
            </w:tcBorders>
          </w:tcPr>
          <w:p w14:paraId="2DDD3994" w14:textId="77777777" w:rsidR="00CD0D28" w:rsidRPr="007F78BA" w:rsidRDefault="00CD0D28" w:rsidP="002A5CF5">
            <w:pPr>
              <w:widowControl w:val="0"/>
              <w:autoSpaceDE w:val="0"/>
              <w:autoSpaceDN w:val="0"/>
              <w:adjustRightInd w:val="0"/>
              <w:rPr>
                <w:rFonts w:ascii="Times New Roman" w:hAnsi="Times New Roman" w:cs="Times New Roman"/>
                <w:sz w:val="20"/>
                <w:szCs w:val="20"/>
                <w:lang w:val="en-GB"/>
              </w:rPr>
            </w:pPr>
            <w:r w:rsidRPr="007F78BA">
              <w:rPr>
                <w:rFonts w:ascii="Times New Roman" w:hAnsi="Times New Roman" w:cs="Times New Roman"/>
                <w:sz w:val="20"/>
                <w:szCs w:val="20"/>
                <w:lang w:val="en-GB"/>
              </w:rPr>
              <w:t>None of it</w:t>
            </w:r>
          </w:p>
        </w:tc>
        <w:tc>
          <w:tcPr>
            <w:tcW w:w="832" w:type="dxa"/>
            <w:tcBorders>
              <w:top w:val="nil"/>
              <w:left w:val="nil"/>
              <w:bottom w:val="nil"/>
              <w:right w:val="nil"/>
            </w:tcBorders>
          </w:tcPr>
          <w:p w14:paraId="1AF6A874"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1,717</w:t>
            </w:r>
          </w:p>
        </w:tc>
        <w:tc>
          <w:tcPr>
            <w:tcW w:w="1842" w:type="dxa"/>
            <w:tcBorders>
              <w:top w:val="nil"/>
              <w:left w:val="nil"/>
              <w:bottom w:val="nil"/>
              <w:right w:val="nil"/>
            </w:tcBorders>
          </w:tcPr>
          <w:p w14:paraId="03A91AC6" w14:textId="055F6AA0"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46.2</w:t>
            </w:r>
          </w:p>
        </w:tc>
        <w:tc>
          <w:tcPr>
            <w:tcW w:w="1276" w:type="dxa"/>
            <w:gridSpan w:val="2"/>
            <w:tcBorders>
              <w:top w:val="nil"/>
              <w:left w:val="nil"/>
              <w:bottom w:val="nil"/>
              <w:right w:val="nil"/>
            </w:tcBorders>
          </w:tcPr>
          <w:p w14:paraId="0974CCFD"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261</w:t>
            </w:r>
          </w:p>
        </w:tc>
        <w:tc>
          <w:tcPr>
            <w:tcW w:w="1843" w:type="dxa"/>
            <w:tcBorders>
              <w:top w:val="nil"/>
              <w:left w:val="nil"/>
              <w:bottom w:val="nil"/>
              <w:right w:val="nil"/>
            </w:tcBorders>
          </w:tcPr>
          <w:p w14:paraId="60E8BC15" w14:textId="5FF87888"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42.7</w:t>
            </w:r>
          </w:p>
        </w:tc>
      </w:tr>
      <w:tr w:rsidR="00CD0D28" w:rsidRPr="007F78BA" w14:paraId="273A8A86" w14:textId="77777777" w:rsidTr="002A5CF5">
        <w:trPr>
          <w:trHeight w:val="275"/>
          <w:jc w:val="center"/>
        </w:trPr>
        <w:tc>
          <w:tcPr>
            <w:tcW w:w="2429" w:type="dxa"/>
            <w:tcBorders>
              <w:top w:val="nil"/>
              <w:left w:val="nil"/>
              <w:bottom w:val="nil"/>
              <w:right w:val="nil"/>
            </w:tcBorders>
          </w:tcPr>
          <w:p w14:paraId="7F3016AA" w14:textId="77777777" w:rsidR="00CD0D28" w:rsidRPr="007F78BA" w:rsidRDefault="00CD0D28" w:rsidP="002A5CF5">
            <w:pPr>
              <w:widowControl w:val="0"/>
              <w:autoSpaceDE w:val="0"/>
              <w:autoSpaceDN w:val="0"/>
              <w:adjustRightInd w:val="0"/>
              <w:rPr>
                <w:rFonts w:ascii="Times New Roman" w:hAnsi="Times New Roman" w:cs="Times New Roman"/>
                <w:sz w:val="20"/>
                <w:szCs w:val="20"/>
                <w:lang w:val="en-GB"/>
              </w:rPr>
            </w:pPr>
            <w:r w:rsidRPr="007F78BA">
              <w:rPr>
                <w:rFonts w:ascii="Times New Roman" w:hAnsi="Times New Roman" w:cs="Times New Roman"/>
                <w:sz w:val="20"/>
                <w:szCs w:val="20"/>
                <w:lang w:val="en-GB"/>
              </w:rPr>
              <w:t>Almost none of it</w:t>
            </w:r>
          </w:p>
        </w:tc>
        <w:tc>
          <w:tcPr>
            <w:tcW w:w="832" w:type="dxa"/>
            <w:tcBorders>
              <w:top w:val="nil"/>
              <w:left w:val="nil"/>
              <w:bottom w:val="nil"/>
              <w:right w:val="nil"/>
            </w:tcBorders>
          </w:tcPr>
          <w:p w14:paraId="72E279D5"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1,124</w:t>
            </w:r>
          </w:p>
        </w:tc>
        <w:tc>
          <w:tcPr>
            <w:tcW w:w="1842" w:type="dxa"/>
            <w:tcBorders>
              <w:top w:val="nil"/>
              <w:left w:val="nil"/>
              <w:bottom w:val="nil"/>
              <w:right w:val="nil"/>
            </w:tcBorders>
          </w:tcPr>
          <w:p w14:paraId="7568C6CE" w14:textId="3791EDEA"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30.</w:t>
            </w:r>
            <w:r w:rsidR="00890551">
              <w:rPr>
                <w:rFonts w:ascii="Times New Roman" w:hAnsi="Times New Roman" w:cs="Times New Roman"/>
                <w:sz w:val="20"/>
                <w:szCs w:val="20"/>
                <w:lang w:val="en-GB"/>
              </w:rPr>
              <w:t>3</w:t>
            </w:r>
          </w:p>
        </w:tc>
        <w:tc>
          <w:tcPr>
            <w:tcW w:w="1276" w:type="dxa"/>
            <w:gridSpan w:val="2"/>
            <w:tcBorders>
              <w:top w:val="nil"/>
              <w:left w:val="nil"/>
              <w:bottom w:val="nil"/>
              <w:right w:val="nil"/>
            </w:tcBorders>
          </w:tcPr>
          <w:p w14:paraId="4F9FB25D"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159</w:t>
            </w:r>
          </w:p>
        </w:tc>
        <w:tc>
          <w:tcPr>
            <w:tcW w:w="1843" w:type="dxa"/>
            <w:tcBorders>
              <w:top w:val="nil"/>
              <w:left w:val="nil"/>
              <w:bottom w:val="nil"/>
              <w:right w:val="nil"/>
            </w:tcBorders>
          </w:tcPr>
          <w:p w14:paraId="3C8A786C" w14:textId="5A34DB43"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26.0</w:t>
            </w:r>
          </w:p>
        </w:tc>
      </w:tr>
      <w:tr w:rsidR="00CD0D28" w:rsidRPr="007F78BA" w14:paraId="3EE5449C" w14:textId="77777777" w:rsidTr="002A5CF5">
        <w:trPr>
          <w:trHeight w:val="275"/>
          <w:jc w:val="center"/>
        </w:trPr>
        <w:tc>
          <w:tcPr>
            <w:tcW w:w="2429" w:type="dxa"/>
            <w:tcBorders>
              <w:top w:val="nil"/>
              <w:left w:val="nil"/>
              <w:bottom w:val="nil"/>
              <w:right w:val="nil"/>
            </w:tcBorders>
          </w:tcPr>
          <w:p w14:paraId="0BE0EE81" w14:textId="77777777" w:rsidR="00CD0D28" w:rsidRPr="007F78BA" w:rsidRDefault="00CD0D28" w:rsidP="002A5CF5">
            <w:pPr>
              <w:widowControl w:val="0"/>
              <w:autoSpaceDE w:val="0"/>
              <w:autoSpaceDN w:val="0"/>
              <w:adjustRightInd w:val="0"/>
              <w:rPr>
                <w:rFonts w:ascii="Times New Roman" w:hAnsi="Times New Roman" w:cs="Times New Roman"/>
                <w:sz w:val="20"/>
                <w:szCs w:val="20"/>
                <w:lang w:val="en-GB"/>
              </w:rPr>
            </w:pPr>
            <w:r w:rsidRPr="007F78BA">
              <w:rPr>
                <w:rFonts w:ascii="Times New Roman" w:hAnsi="Times New Roman" w:cs="Times New Roman"/>
                <w:sz w:val="20"/>
                <w:szCs w:val="20"/>
                <w:lang w:val="en-GB"/>
              </w:rPr>
              <w:t>Less than half</w:t>
            </w:r>
          </w:p>
        </w:tc>
        <w:tc>
          <w:tcPr>
            <w:tcW w:w="832" w:type="dxa"/>
            <w:tcBorders>
              <w:top w:val="nil"/>
              <w:left w:val="nil"/>
              <w:bottom w:val="nil"/>
              <w:right w:val="nil"/>
            </w:tcBorders>
          </w:tcPr>
          <w:p w14:paraId="4F2A8AB4"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373</w:t>
            </w:r>
          </w:p>
        </w:tc>
        <w:tc>
          <w:tcPr>
            <w:tcW w:w="1842" w:type="dxa"/>
            <w:tcBorders>
              <w:top w:val="nil"/>
              <w:left w:val="nil"/>
              <w:bottom w:val="nil"/>
              <w:right w:val="nil"/>
            </w:tcBorders>
          </w:tcPr>
          <w:p w14:paraId="2E17EBF1" w14:textId="7460FB3A"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10.0</w:t>
            </w:r>
          </w:p>
        </w:tc>
        <w:tc>
          <w:tcPr>
            <w:tcW w:w="1276" w:type="dxa"/>
            <w:gridSpan w:val="2"/>
            <w:tcBorders>
              <w:top w:val="nil"/>
              <w:left w:val="nil"/>
              <w:bottom w:val="nil"/>
              <w:right w:val="nil"/>
            </w:tcBorders>
          </w:tcPr>
          <w:p w14:paraId="66C33A24"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93</w:t>
            </w:r>
          </w:p>
        </w:tc>
        <w:tc>
          <w:tcPr>
            <w:tcW w:w="1843" w:type="dxa"/>
            <w:tcBorders>
              <w:top w:val="nil"/>
              <w:left w:val="nil"/>
              <w:bottom w:val="nil"/>
              <w:right w:val="nil"/>
            </w:tcBorders>
          </w:tcPr>
          <w:p w14:paraId="6A9A5CC1" w14:textId="38CC7BB9"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15.2</w:t>
            </w:r>
          </w:p>
        </w:tc>
      </w:tr>
      <w:tr w:rsidR="00CD0D28" w:rsidRPr="007F78BA" w14:paraId="2A5C6FAF" w14:textId="77777777" w:rsidTr="002A5CF5">
        <w:trPr>
          <w:trHeight w:val="275"/>
          <w:jc w:val="center"/>
        </w:trPr>
        <w:tc>
          <w:tcPr>
            <w:tcW w:w="2429" w:type="dxa"/>
            <w:tcBorders>
              <w:top w:val="nil"/>
              <w:left w:val="nil"/>
              <w:bottom w:val="nil"/>
              <w:right w:val="nil"/>
            </w:tcBorders>
          </w:tcPr>
          <w:p w14:paraId="7C85EF1B" w14:textId="77777777" w:rsidR="00CD0D28" w:rsidRPr="007F78BA" w:rsidRDefault="00CD0D28" w:rsidP="002A5CF5">
            <w:pPr>
              <w:widowControl w:val="0"/>
              <w:autoSpaceDE w:val="0"/>
              <w:autoSpaceDN w:val="0"/>
              <w:adjustRightInd w:val="0"/>
              <w:rPr>
                <w:rFonts w:ascii="Times New Roman" w:hAnsi="Times New Roman" w:cs="Times New Roman"/>
                <w:sz w:val="20"/>
                <w:szCs w:val="20"/>
                <w:lang w:val="en-GB"/>
              </w:rPr>
            </w:pPr>
            <w:r w:rsidRPr="007F78BA">
              <w:rPr>
                <w:rFonts w:ascii="Times New Roman" w:hAnsi="Times New Roman" w:cs="Times New Roman"/>
                <w:sz w:val="20"/>
                <w:szCs w:val="20"/>
                <w:lang w:val="en-GB"/>
              </w:rPr>
              <w:t>About half</w:t>
            </w:r>
          </w:p>
        </w:tc>
        <w:tc>
          <w:tcPr>
            <w:tcW w:w="832" w:type="dxa"/>
            <w:tcBorders>
              <w:top w:val="nil"/>
              <w:left w:val="nil"/>
              <w:bottom w:val="nil"/>
              <w:right w:val="nil"/>
            </w:tcBorders>
          </w:tcPr>
          <w:p w14:paraId="3932E83A"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179</w:t>
            </w:r>
          </w:p>
        </w:tc>
        <w:tc>
          <w:tcPr>
            <w:tcW w:w="1842" w:type="dxa"/>
            <w:tcBorders>
              <w:top w:val="nil"/>
              <w:left w:val="nil"/>
              <w:bottom w:val="nil"/>
              <w:right w:val="nil"/>
            </w:tcBorders>
          </w:tcPr>
          <w:p w14:paraId="7103D800" w14:textId="4792DC60"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4.8</w:t>
            </w:r>
          </w:p>
        </w:tc>
        <w:tc>
          <w:tcPr>
            <w:tcW w:w="1276" w:type="dxa"/>
            <w:gridSpan w:val="2"/>
            <w:tcBorders>
              <w:top w:val="nil"/>
              <w:left w:val="nil"/>
              <w:bottom w:val="nil"/>
              <w:right w:val="nil"/>
            </w:tcBorders>
          </w:tcPr>
          <w:p w14:paraId="3B827D86"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40</w:t>
            </w:r>
          </w:p>
        </w:tc>
        <w:tc>
          <w:tcPr>
            <w:tcW w:w="1843" w:type="dxa"/>
            <w:tcBorders>
              <w:top w:val="nil"/>
              <w:left w:val="nil"/>
              <w:bottom w:val="nil"/>
              <w:right w:val="nil"/>
            </w:tcBorders>
          </w:tcPr>
          <w:p w14:paraId="18164B88" w14:textId="17B32EA4"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6.5</w:t>
            </w:r>
          </w:p>
        </w:tc>
      </w:tr>
      <w:tr w:rsidR="00CD0D28" w:rsidRPr="007F78BA" w14:paraId="5E7B529E" w14:textId="77777777" w:rsidTr="002A5CF5">
        <w:trPr>
          <w:trHeight w:val="275"/>
          <w:jc w:val="center"/>
        </w:trPr>
        <w:tc>
          <w:tcPr>
            <w:tcW w:w="2429" w:type="dxa"/>
            <w:tcBorders>
              <w:top w:val="nil"/>
              <w:left w:val="nil"/>
              <w:bottom w:val="nil"/>
              <w:right w:val="nil"/>
            </w:tcBorders>
          </w:tcPr>
          <w:p w14:paraId="373546CB" w14:textId="77777777" w:rsidR="00CD0D28" w:rsidRPr="007F78BA" w:rsidRDefault="00CD0D28" w:rsidP="002A5CF5">
            <w:pPr>
              <w:widowControl w:val="0"/>
              <w:autoSpaceDE w:val="0"/>
              <w:autoSpaceDN w:val="0"/>
              <w:adjustRightInd w:val="0"/>
              <w:rPr>
                <w:rFonts w:ascii="Times New Roman" w:hAnsi="Times New Roman" w:cs="Times New Roman"/>
                <w:sz w:val="20"/>
                <w:szCs w:val="20"/>
                <w:lang w:val="en-GB"/>
              </w:rPr>
            </w:pPr>
            <w:r w:rsidRPr="007F78BA">
              <w:rPr>
                <w:rFonts w:ascii="Times New Roman" w:hAnsi="Times New Roman" w:cs="Times New Roman"/>
                <w:sz w:val="20"/>
                <w:szCs w:val="20"/>
                <w:lang w:val="en-GB"/>
              </w:rPr>
              <w:t>More than half</w:t>
            </w:r>
          </w:p>
        </w:tc>
        <w:tc>
          <w:tcPr>
            <w:tcW w:w="832" w:type="dxa"/>
            <w:tcBorders>
              <w:top w:val="nil"/>
              <w:left w:val="nil"/>
              <w:bottom w:val="nil"/>
              <w:right w:val="nil"/>
            </w:tcBorders>
          </w:tcPr>
          <w:p w14:paraId="11E9B8C2"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144</w:t>
            </w:r>
          </w:p>
        </w:tc>
        <w:tc>
          <w:tcPr>
            <w:tcW w:w="1842" w:type="dxa"/>
            <w:tcBorders>
              <w:top w:val="nil"/>
              <w:left w:val="nil"/>
              <w:bottom w:val="nil"/>
              <w:right w:val="nil"/>
            </w:tcBorders>
          </w:tcPr>
          <w:p w14:paraId="4E61AA3D" w14:textId="5FBA6C50"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3.</w:t>
            </w:r>
            <w:r w:rsidR="00890551">
              <w:rPr>
                <w:rFonts w:ascii="Times New Roman" w:hAnsi="Times New Roman" w:cs="Times New Roman"/>
                <w:sz w:val="20"/>
                <w:szCs w:val="20"/>
                <w:lang w:val="en-GB"/>
              </w:rPr>
              <w:t>9</w:t>
            </w:r>
          </w:p>
        </w:tc>
        <w:tc>
          <w:tcPr>
            <w:tcW w:w="1276" w:type="dxa"/>
            <w:gridSpan w:val="2"/>
            <w:tcBorders>
              <w:top w:val="nil"/>
              <w:left w:val="nil"/>
              <w:bottom w:val="nil"/>
              <w:right w:val="nil"/>
            </w:tcBorders>
          </w:tcPr>
          <w:p w14:paraId="13CCD61B"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26</w:t>
            </w:r>
          </w:p>
        </w:tc>
        <w:tc>
          <w:tcPr>
            <w:tcW w:w="1843" w:type="dxa"/>
            <w:tcBorders>
              <w:top w:val="nil"/>
              <w:left w:val="nil"/>
              <w:bottom w:val="nil"/>
              <w:right w:val="nil"/>
            </w:tcBorders>
          </w:tcPr>
          <w:p w14:paraId="343E8B86" w14:textId="01F5C152"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4.</w:t>
            </w:r>
            <w:r w:rsidR="003803C1">
              <w:rPr>
                <w:rFonts w:ascii="Times New Roman" w:hAnsi="Times New Roman" w:cs="Times New Roman"/>
                <w:sz w:val="20"/>
                <w:szCs w:val="20"/>
                <w:lang w:val="en-GB"/>
              </w:rPr>
              <w:t>3</w:t>
            </w:r>
          </w:p>
        </w:tc>
      </w:tr>
      <w:tr w:rsidR="00CD0D28" w:rsidRPr="007F78BA" w14:paraId="76DC52C8" w14:textId="77777777" w:rsidTr="002A5CF5">
        <w:trPr>
          <w:trHeight w:val="86"/>
          <w:jc w:val="center"/>
        </w:trPr>
        <w:tc>
          <w:tcPr>
            <w:tcW w:w="2429" w:type="dxa"/>
            <w:tcBorders>
              <w:top w:val="nil"/>
              <w:left w:val="nil"/>
              <w:bottom w:val="nil"/>
              <w:right w:val="nil"/>
            </w:tcBorders>
          </w:tcPr>
          <w:p w14:paraId="3C1D676B" w14:textId="77777777" w:rsidR="00CD0D28" w:rsidRPr="007F78BA" w:rsidRDefault="00CD0D28" w:rsidP="002A5CF5">
            <w:pPr>
              <w:widowControl w:val="0"/>
              <w:autoSpaceDE w:val="0"/>
              <w:autoSpaceDN w:val="0"/>
              <w:adjustRightInd w:val="0"/>
              <w:rPr>
                <w:rFonts w:ascii="Times New Roman" w:hAnsi="Times New Roman" w:cs="Times New Roman"/>
                <w:sz w:val="20"/>
                <w:szCs w:val="20"/>
                <w:lang w:val="en-GB"/>
              </w:rPr>
            </w:pPr>
            <w:r w:rsidRPr="007F78BA">
              <w:rPr>
                <w:rFonts w:ascii="Times New Roman" w:hAnsi="Times New Roman" w:cs="Times New Roman"/>
                <w:sz w:val="20"/>
                <w:szCs w:val="20"/>
                <w:lang w:val="en-GB"/>
              </w:rPr>
              <w:t>Almost all of it</w:t>
            </w:r>
          </w:p>
        </w:tc>
        <w:tc>
          <w:tcPr>
            <w:tcW w:w="832" w:type="dxa"/>
            <w:tcBorders>
              <w:top w:val="nil"/>
              <w:left w:val="nil"/>
              <w:bottom w:val="nil"/>
              <w:right w:val="nil"/>
            </w:tcBorders>
          </w:tcPr>
          <w:p w14:paraId="4F153C8D"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119</w:t>
            </w:r>
          </w:p>
        </w:tc>
        <w:tc>
          <w:tcPr>
            <w:tcW w:w="1842" w:type="dxa"/>
            <w:tcBorders>
              <w:top w:val="nil"/>
              <w:left w:val="nil"/>
              <w:bottom w:val="nil"/>
              <w:right w:val="nil"/>
            </w:tcBorders>
          </w:tcPr>
          <w:p w14:paraId="7CC0CE67" w14:textId="0DDA22DD"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3.2</w:t>
            </w:r>
          </w:p>
        </w:tc>
        <w:tc>
          <w:tcPr>
            <w:tcW w:w="1276" w:type="dxa"/>
            <w:gridSpan w:val="2"/>
            <w:tcBorders>
              <w:top w:val="nil"/>
              <w:left w:val="nil"/>
              <w:bottom w:val="nil"/>
              <w:right w:val="nil"/>
            </w:tcBorders>
          </w:tcPr>
          <w:p w14:paraId="0BBB35D0"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25</w:t>
            </w:r>
          </w:p>
        </w:tc>
        <w:tc>
          <w:tcPr>
            <w:tcW w:w="1843" w:type="dxa"/>
            <w:tcBorders>
              <w:top w:val="nil"/>
              <w:left w:val="nil"/>
              <w:bottom w:val="nil"/>
              <w:right w:val="nil"/>
            </w:tcBorders>
          </w:tcPr>
          <w:p w14:paraId="280C31B9" w14:textId="7C3BEA6A"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4.</w:t>
            </w:r>
            <w:r w:rsidR="003803C1">
              <w:rPr>
                <w:rFonts w:ascii="Times New Roman" w:hAnsi="Times New Roman" w:cs="Times New Roman"/>
                <w:sz w:val="20"/>
                <w:szCs w:val="20"/>
                <w:lang w:val="en-GB"/>
              </w:rPr>
              <w:t>1</w:t>
            </w:r>
          </w:p>
        </w:tc>
      </w:tr>
      <w:tr w:rsidR="00CD0D28" w:rsidRPr="007F78BA" w14:paraId="354949C9" w14:textId="77777777" w:rsidTr="002A5CF5">
        <w:trPr>
          <w:trHeight w:val="275"/>
          <w:jc w:val="center"/>
        </w:trPr>
        <w:tc>
          <w:tcPr>
            <w:tcW w:w="2429" w:type="dxa"/>
            <w:tcBorders>
              <w:top w:val="nil"/>
              <w:left w:val="nil"/>
              <w:bottom w:val="nil"/>
              <w:right w:val="nil"/>
            </w:tcBorders>
          </w:tcPr>
          <w:p w14:paraId="7D60B4EB" w14:textId="77777777" w:rsidR="00CD0D28" w:rsidRPr="007F78BA" w:rsidRDefault="00CD0D28" w:rsidP="002A5CF5">
            <w:pPr>
              <w:widowControl w:val="0"/>
              <w:autoSpaceDE w:val="0"/>
              <w:autoSpaceDN w:val="0"/>
              <w:adjustRightInd w:val="0"/>
              <w:rPr>
                <w:rFonts w:ascii="Times New Roman" w:hAnsi="Times New Roman" w:cs="Times New Roman"/>
                <w:sz w:val="20"/>
                <w:szCs w:val="20"/>
                <w:lang w:val="en-GB"/>
              </w:rPr>
            </w:pPr>
            <w:r w:rsidRPr="007F78BA">
              <w:rPr>
                <w:rFonts w:ascii="Times New Roman" w:hAnsi="Times New Roman" w:cs="Times New Roman"/>
                <w:sz w:val="20"/>
                <w:szCs w:val="20"/>
                <w:lang w:val="en-GB"/>
              </w:rPr>
              <w:t xml:space="preserve">All of it </w:t>
            </w:r>
          </w:p>
          <w:p w14:paraId="02099BBA" w14:textId="77777777" w:rsidR="00CD0D28" w:rsidRPr="007F78BA" w:rsidRDefault="00CD0D28" w:rsidP="002A5CF5">
            <w:pPr>
              <w:widowControl w:val="0"/>
              <w:autoSpaceDE w:val="0"/>
              <w:autoSpaceDN w:val="0"/>
              <w:adjustRightInd w:val="0"/>
              <w:rPr>
                <w:rFonts w:ascii="Times New Roman" w:hAnsi="Times New Roman" w:cs="Times New Roman"/>
                <w:sz w:val="20"/>
                <w:szCs w:val="20"/>
                <w:lang w:val="en-GB"/>
              </w:rPr>
            </w:pPr>
          </w:p>
        </w:tc>
        <w:tc>
          <w:tcPr>
            <w:tcW w:w="832" w:type="dxa"/>
            <w:tcBorders>
              <w:top w:val="nil"/>
              <w:left w:val="nil"/>
              <w:bottom w:val="nil"/>
              <w:right w:val="nil"/>
            </w:tcBorders>
          </w:tcPr>
          <w:p w14:paraId="45A7E7E4"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57</w:t>
            </w:r>
          </w:p>
        </w:tc>
        <w:tc>
          <w:tcPr>
            <w:tcW w:w="1842" w:type="dxa"/>
            <w:tcBorders>
              <w:top w:val="nil"/>
              <w:left w:val="nil"/>
              <w:bottom w:val="nil"/>
              <w:right w:val="nil"/>
            </w:tcBorders>
          </w:tcPr>
          <w:p w14:paraId="5577EDF2" w14:textId="04783E0C"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1.5</w:t>
            </w:r>
          </w:p>
        </w:tc>
        <w:tc>
          <w:tcPr>
            <w:tcW w:w="1276" w:type="dxa"/>
            <w:gridSpan w:val="2"/>
            <w:tcBorders>
              <w:top w:val="nil"/>
              <w:left w:val="nil"/>
              <w:bottom w:val="nil"/>
              <w:right w:val="nil"/>
            </w:tcBorders>
          </w:tcPr>
          <w:p w14:paraId="74F03EC4"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7</w:t>
            </w:r>
          </w:p>
        </w:tc>
        <w:tc>
          <w:tcPr>
            <w:tcW w:w="1843" w:type="dxa"/>
            <w:tcBorders>
              <w:top w:val="nil"/>
              <w:left w:val="nil"/>
              <w:bottom w:val="nil"/>
              <w:right w:val="nil"/>
            </w:tcBorders>
          </w:tcPr>
          <w:p w14:paraId="3FA4EDF3" w14:textId="219CD19B"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1.1</w:t>
            </w:r>
          </w:p>
        </w:tc>
      </w:tr>
      <w:tr w:rsidR="00CD0D28" w:rsidRPr="007F78BA" w14:paraId="3951D853" w14:textId="77777777" w:rsidTr="002A5CF5">
        <w:trPr>
          <w:trHeight w:val="275"/>
          <w:jc w:val="center"/>
        </w:trPr>
        <w:tc>
          <w:tcPr>
            <w:tcW w:w="2429" w:type="dxa"/>
            <w:tcBorders>
              <w:top w:val="nil"/>
              <w:left w:val="nil"/>
              <w:bottom w:val="nil"/>
              <w:right w:val="nil"/>
            </w:tcBorders>
          </w:tcPr>
          <w:p w14:paraId="57A07AEF" w14:textId="77777777" w:rsidR="00CD0D28" w:rsidRPr="007F78BA" w:rsidRDefault="00CD0D28" w:rsidP="002A5CF5">
            <w:pPr>
              <w:widowControl w:val="0"/>
              <w:autoSpaceDE w:val="0"/>
              <w:autoSpaceDN w:val="0"/>
              <w:adjustRightInd w:val="0"/>
              <w:rPr>
                <w:rFonts w:ascii="Times New Roman" w:hAnsi="Times New Roman" w:cs="Times New Roman"/>
                <w:b/>
                <w:sz w:val="20"/>
                <w:szCs w:val="20"/>
                <w:lang w:val="en-GB"/>
              </w:rPr>
            </w:pPr>
            <w:r w:rsidRPr="007F78BA">
              <w:rPr>
                <w:rFonts w:ascii="Times New Roman" w:hAnsi="Times New Roman" w:cs="Times New Roman"/>
                <w:b/>
                <w:sz w:val="20"/>
                <w:szCs w:val="20"/>
                <w:lang w:val="en-GB"/>
              </w:rPr>
              <w:t>Substance Use</w:t>
            </w:r>
          </w:p>
        </w:tc>
        <w:tc>
          <w:tcPr>
            <w:tcW w:w="832" w:type="dxa"/>
            <w:tcBorders>
              <w:top w:val="nil"/>
              <w:left w:val="nil"/>
              <w:bottom w:val="nil"/>
              <w:right w:val="nil"/>
            </w:tcBorders>
          </w:tcPr>
          <w:p w14:paraId="429917A3"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p>
        </w:tc>
        <w:tc>
          <w:tcPr>
            <w:tcW w:w="1842" w:type="dxa"/>
            <w:tcBorders>
              <w:top w:val="nil"/>
              <w:left w:val="nil"/>
              <w:bottom w:val="nil"/>
              <w:right w:val="nil"/>
            </w:tcBorders>
          </w:tcPr>
          <w:p w14:paraId="062CA8E0"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p>
        </w:tc>
        <w:tc>
          <w:tcPr>
            <w:tcW w:w="1276" w:type="dxa"/>
            <w:gridSpan w:val="2"/>
            <w:tcBorders>
              <w:top w:val="nil"/>
              <w:left w:val="nil"/>
              <w:bottom w:val="nil"/>
              <w:right w:val="nil"/>
            </w:tcBorders>
          </w:tcPr>
          <w:p w14:paraId="7A5758FC"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p>
        </w:tc>
        <w:tc>
          <w:tcPr>
            <w:tcW w:w="1843" w:type="dxa"/>
            <w:tcBorders>
              <w:top w:val="nil"/>
              <w:left w:val="nil"/>
              <w:bottom w:val="nil"/>
              <w:right w:val="nil"/>
            </w:tcBorders>
          </w:tcPr>
          <w:p w14:paraId="03FDC3EC"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p>
        </w:tc>
      </w:tr>
      <w:tr w:rsidR="00CD0D28" w:rsidRPr="007F78BA" w14:paraId="105D74C7" w14:textId="77777777" w:rsidTr="002A5CF5">
        <w:trPr>
          <w:trHeight w:val="275"/>
          <w:jc w:val="center"/>
        </w:trPr>
        <w:tc>
          <w:tcPr>
            <w:tcW w:w="2429" w:type="dxa"/>
            <w:tcBorders>
              <w:top w:val="nil"/>
              <w:left w:val="nil"/>
              <w:bottom w:val="nil"/>
              <w:right w:val="nil"/>
            </w:tcBorders>
          </w:tcPr>
          <w:p w14:paraId="13E4CCB6" w14:textId="77777777" w:rsidR="00CD0D28" w:rsidRPr="007F78BA" w:rsidRDefault="00CD0D28" w:rsidP="002A5CF5">
            <w:pPr>
              <w:widowControl w:val="0"/>
              <w:autoSpaceDE w:val="0"/>
              <w:autoSpaceDN w:val="0"/>
              <w:adjustRightInd w:val="0"/>
              <w:rPr>
                <w:rFonts w:ascii="Times New Roman" w:hAnsi="Times New Roman" w:cs="Times New Roman"/>
                <w:sz w:val="20"/>
                <w:szCs w:val="20"/>
                <w:lang w:val="en-GB"/>
              </w:rPr>
            </w:pPr>
            <w:r w:rsidRPr="007F78BA">
              <w:rPr>
                <w:rFonts w:ascii="Times New Roman" w:hAnsi="Times New Roman" w:cs="Times New Roman"/>
                <w:sz w:val="20"/>
                <w:szCs w:val="20"/>
                <w:lang w:val="en-GB"/>
              </w:rPr>
              <w:t>Alcohol</w:t>
            </w:r>
          </w:p>
        </w:tc>
        <w:tc>
          <w:tcPr>
            <w:tcW w:w="832" w:type="dxa"/>
            <w:tcBorders>
              <w:top w:val="nil"/>
              <w:left w:val="nil"/>
              <w:bottom w:val="nil"/>
              <w:right w:val="nil"/>
            </w:tcBorders>
          </w:tcPr>
          <w:p w14:paraId="4B8E0C74"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3,897</w:t>
            </w:r>
          </w:p>
        </w:tc>
        <w:tc>
          <w:tcPr>
            <w:tcW w:w="1842" w:type="dxa"/>
            <w:tcBorders>
              <w:top w:val="nil"/>
              <w:left w:val="nil"/>
              <w:bottom w:val="nil"/>
              <w:right w:val="nil"/>
            </w:tcBorders>
          </w:tcPr>
          <w:p w14:paraId="238089AC" w14:textId="77777777" w:rsidR="00CD0D28" w:rsidRPr="007A2ED5" w:rsidRDefault="00CD0D28" w:rsidP="002A5CF5">
            <w:pPr>
              <w:widowControl w:val="0"/>
              <w:autoSpaceDE w:val="0"/>
              <w:autoSpaceDN w:val="0"/>
              <w:adjustRightInd w:val="0"/>
              <w:jc w:val="right"/>
              <w:rPr>
                <w:rFonts w:ascii="Times New Roman" w:hAnsi="Times New Roman" w:cs="Times New Roman"/>
                <w:b/>
                <w:i/>
                <w:iCs/>
                <w:sz w:val="20"/>
                <w:szCs w:val="20"/>
                <w:lang w:val="en-GB"/>
              </w:rPr>
            </w:pPr>
            <w:r w:rsidRPr="007A2ED5">
              <w:rPr>
                <w:rFonts w:ascii="Times New Roman" w:hAnsi="Times New Roman" w:cs="Times New Roman"/>
                <w:b/>
                <w:i/>
                <w:iCs/>
                <w:sz w:val="20"/>
                <w:szCs w:val="20"/>
                <w:lang w:val="en-GB"/>
              </w:rPr>
              <w:t>In the last 7 days</w:t>
            </w:r>
          </w:p>
        </w:tc>
        <w:tc>
          <w:tcPr>
            <w:tcW w:w="1276" w:type="dxa"/>
            <w:gridSpan w:val="2"/>
            <w:tcBorders>
              <w:top w:val="nil"/>
              <w:left w:val="nil"/>
              <w:bottom w:val="nil"/>
              <w:right w:val="nil"/>
            </w:tcBorders>
          </w:tcPr>
          <w:p w14:paraId="152E428F"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672</w:t>
            </w:r>
          </w:p>
        </w:tc>
        <w:tc>
          <w:tcPr>
            <w:tcW w:w="1843" w:type="dxa"/>
            <w:tcBorders>
              <w:top w:val="nil"/>
              <w:left w:val="nil"/>
              <w:bottom w:val="nil"/>
              <w:right w:val="nil"/>
            </w:tcBorders>
          </w:tcPr>
          <w:p w14:paraId="2ABC2ED5" w14:textId="77777777" w:rsidR="00CD0D28" w:rsidRPr="007A2ED5" w:rsidRDefault="00CD0D28" w:rsidP="002A5CF5">
            <w:pPr>
              <w:widowControl w:val="0"/>
              <w:autoSpaceDE w:val="0"/>
              <w:autoSpaceDN w:val="0"/>
              <w:adjustRightInd w:val="0"/>
              <w:jc w:val="right"/>
              <w:rPr>
                <w:rFonts w:ascii="Times New Roman" w:hAnsi="Times New Roman" w:cs="Times New Roman"/>
                <w:b/>
                <w:i/>
                <w:iCs/>
                <w:sz w:val="20"/>
                <w:szCs w:val="20"/>
                <w:lang w:val="en-GB"/>
              </w:rPr>
            </w:pPr>
            <w:r w:rsidRPr="007A2ED5">
              <w:rPr>
                <w:rFonts w:ascii="Times New Roman" w:hAnsi="Times New Roman" w:cs="Times New Roman"/>
                <w:b/>
                <w:i/>
                <w:iCs/>
                <w:sz w:val="20"/>
                <w:szCs w:val="20"/>
                <w:lang w:val="en-GB"/>
              </w:rPr>
              <w:t>Within the last 6 months</w:t>
            </w:r>
          </w:p>
        </w:tc>
      </w:tr>
      <w:tr w:rsidR="00CD0D28" w:rsidRPr="007F78BA" w14:paraId="077D53A3" w14:textId="77777777" w:rsidTr="002A5CF5">
        <w:trPr>
          <w:trHeight w:val="297"/>
          <w:jc w:val="center"/>
        </w:trPr>
        <w:tc>
          <w:tcPr>
            <w:tcW w:w="2429" w:type="dxa"/>
            <w:tcBorders>
              <w:top w:val="nil"/>
              <w:left w:val="nil"/>
              <w:bottom w:val="nil"/>
              <w:right w:val="nil"/>
            </w:tcBorders>
          </w:tcPr>
          <w:p w14:paraId="6C55B023" w14:textId="77777777" w:rsidR="00CD0D28" w:rsidRPr="007F78BA" w:rsidRDefault="00CD0D28" w:rsidP="002A5CF5">
            <w:pPr>
              <w:widowControl w:val="0"/>
              <w:autoSpaceDE w:val="0"/>
              <w:autoSpaceDN w:val="0"/>
              <w:adjustRightInd w:val="0"/>
              <w:rPr>
                <w:rFonts w:ascii="Times New Roman" w:hAnsi="Times New Roman" w:cs="Times New Roman"/>
                <w:sz w:val="20"/>
                <w:szCs w:val="20"/>
                <w:lang w:val="en-GB"/>
              </w:rPr>
            </w:pPr>
            <w:r w:rsidRPr="007F78BA">
              <w:rPr>
                <w:rFonts w:ascii="Times New Roman" w:hAnsi="Times New Roman" w:cs="Times New Roman"/>
                <w:sz w:val="20"/>
                <w:szCs w:val="20"/>
                <w:lang w:val="en-GB"/>
              </w:rPr>
              <w:t>E (pill)</w:t>
            </w:r>
          </w:p>
        </w:tc>
        <w:tc>
          <w:tcPr>
            <w:tcW w:w="832" w:type="dxa"/>
            <w:tcBorders>
              <w:top w:val="nil"/>
              <w:left w:val="nil"/>
              <w:bottom w:val="nil"/>
              <w:right w:val="nil"/>
            </w:tcBorders>
          </w:tcPr>
          <w:p w14:paraId="2E53113F"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3,870</w:t>
            </w:r>
          </w:p>
        </w:tc>
        <w:tc>
          <w:tcPr>
            <w:tcW w:w="1842" w:type="dxa"/>
            <w:tcBorders>
              <w:top w:val="nil"/>
              <w:left w:val="nil"/>
              <w:bottom w:val="nil"/>
              <w:right w:val="nil"/>
            </w:tcBorders>
          </w:tcPr>
          <w:p w14:paraId="43C97255" w14:textId="77777777" w:rsidR="00CD0D28" w:rsidRPr="007A2ED5" w:rsidRDefault="00CD0D28" w:rsidP="002A5CF5">
            <w:pPr>
              <w:widowControl w:val="0"/>
              <w:autoSpaceDE w:val="0"/>
              <w:autoSpaceDN w:val="0"/>
              <w:adjustRightInd w:val="0"/>
              <w:jc w:val="right"/>
              <w:rPr>
                <w:rFonts w:ascii="Times New Roman" w:hAnsi="Times New Roman" w:cs="Times New Roman"/>
                <w:b/>
                <w:i/>
                <w:iCs/>
                <w:sz w:val="20"/>
                <w:szCs w:val="20"/>
                <w:lang w:val="en-GB"/>
              </w:rPr>
            </w:pPr>
            <w:r w:rsidRPr="007A2ED5">
              <w:rPr>
                <w:rFonts w:ascii="Times New Roman" w:hAnsi="Times New Roman" w:cs="Times New Roman"/>
                <w:b/>
                <w:i/>
                <w:iCs/>
                <w:sz w:val="20"/>
                <w:szCs w:val="20"/>
                <w:lang w:val="en-GB"/>
              </w:rPr>
              <w:t>Never</w:t>
            </w:r>
          </w:p>
        </w:tc>
        <w:tc>
          <w:tcPr>
            <w:tcW w:w="1276" w:type="dxa"/>
            <w:gridSpan w:val="2"/>
            <w:tcBorders>
              <w:top w:val="nil"/>
              <w:left w:val="nil"/>
              <w:bottom w:val="nil"/>
              <w:right w:val="nil"/>
            </w:tcBorders>
          </w:tcPr>
          <w:p w14:paraId="2233F58E"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670</w:t>
            </w:r>
          </w:p>
        </w:tc>
        <w:tc>
          <w:tcPr>
            <w:tcW w:w="1843" w:type="dxa"/>
            <w:tcBorders>
              <w:top w:val="nil"/>
              <w:left w:val="nil"/>
              <w:bottom w:val="nil"/>
              <w:right w:val="nil"/>
            </w:tcBorders>
          </w:tcPr>
          <w:p w14:paraId="3E6017C9" w14:textId="77777777" w:rsidR="00CD0D28" w:rsidRPr="007A2ED5" w:rsidRDefault="00CD0D28" w:rsidP="002A5CF5">
            <w:pPr>
              <w:widowControl w:val="0"/>
              <w:autoSpaceDE w:val="0"/>
              <w:autoSpaceDN w:val="0"/>
              <w:adjustRightInd w:val="0"/>
              <w:jc w:val="right"/>
              <w:rPr>
                <w:rFonts w:ascii="Times New Roman" w:hAnsi="Times New Roman" w:cs="Times New Roman"/>
                <w:b/>
                <w:i/>
                <w:iCs/>
                <w:sz w:val="20"/>
                <w:szCs w:val="20"/>
                <w:lang w:val="en-GB"/>
              </w:rPr>
            </w:pPr>
            <w:r w:rsidRPr="007A2ED5">
              <w:rPr>
                <w:rFonts w:ascii="Times New Roman" w:hAnsi="Times New Roman" w:cs="Times New Roman"/>
                <w:b/>
                <w:i/>
                <w:iCs/>
                <w:sz w:val="20"/>
                <w:szCs w:val="20"/>
                <w:lang w:val="en-GB"/>
              </w:rPr>
              <w:t>Never</w:t>
            </w:r>
          </w:p>
        </w:tc>
      </w:tr>
      <w:tr w:rsidR="00CD0D28" w:rsidRPr="007F78BA" w14:paraId="31D958AC" w14:textId="77777777" w:rsidTr="002A5CF5">
        <w:trPr>
          <w:trHeight w:val="275"/>
          <w:jc w:val="center"/>
        </w:trPr>
        <w:tc>
          <w:tcPr>
            <w:tcW w:w="2429" w:type="dxa"/>
            <w:tcBorders>
              <w:top w:val="nil"/>
              <w:left w:val="nil"/>
              <w:bottom w:val="nil"/>
              <w:right w:val="nil"/>
            </w:tcBorders>
          </w:tcPr>
          <w:p w14:paraId="6DFE50FB" w14:textId="77777777" w:rsidR="00CD0D28" w:rsidRPr="007F78BA" w:rsidRDefault="00CD0D28" w:rsidP="002A5CF5">
            <w:pPr>
              <w:widowControl w:val="0"/>
              <w:autoSpaceDE w:val="0"/>
              <w:autoSpaceDN w:val="0"/>
              <w:adjustRightInd w:val="0"/>
              <w:rPr>
                <w:rFonts w:ascii="Times New Roman" w:hAnsi="Times New Roman" w:cs="Times New Roman"/>
                <w:sz w:val="20"/>
                <w:szCs w:val="20"/>
                <w:lang w:val="en-GB"/>
              </w:rPr>
            </w:pPr>
            <w:r w:rsidRPr="007F78BA">
              <w:rPr>
                <w:rFonts w:ascii="Times New Roman" w:hAnsi="Times New Roman" w:cs="Times New Roman"/>
                <w:sz w:val="20"/>
                <w:szCs w:val="20"/>
                <w:lang w:val="en-GB"/>
              </w:rPr>
              <w:t>E (crystal)</w:t>
            </w:r>
          </w:p>
        </w:tc>
        <w:tc>
          <w:tcPr>
            <w:tcW w:w="832" w:type="dxa"/>
            <w:tcBorders>
              <w:top w:val="nil"/>
              <w:left w:val="nil"/>
              <w:bottom w:val="nil"/>
              <w:right w:val="nil"/>
            </w:tcBorders>
          </w:tcPr>
          <w:p w14:paraId="507592F0"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3,873</w:t>
            </w:r>
          </w:p>
        </w:tc>
        <w:tc>
          <w:tcPr>
            <w:tcW w:w="1842" w:type="dxa"/>
            <w:tcBorders>
              <w:top w:val="nil"/>
              <w:left w:val="nil"/>
              <w:bottom w:val="nil"/>
              <w:right w:val="nil"/>
            </w:tcBorders>
          </w:tcPr>
          <w:p w14:paraId="4992CE70" w14:textId="77777777" w:rsidR="00CD0D28" w:rsidRPr="007A2ED5" w:rsidRDefault="00CD0D28" w:rsidP="002A5CF5">
            <w:pPr>
              <w:widowControl w:val="0"/>
              <w:autoSpaceDE w:val="0"/>
              <w:autoSpaceDN w:val="0"/>
              <w:adjustRightInd w:val="0"/>
              <w:jc w:val="right"/>
              <w:rPr>
                <w:rFonts w:ascii="Times New Roman" w:hAnsi="Times New Roman" w:cs="Times New Roman"/>
                <w:b/>
                <w:i/>
                <w:iCs/>
                <w:sz w:val="20"/>
                <w:szCs w:val="20"/>
                <w:lang w:val="en-GB"/>
              </w:rPr>
            </w:pPr>
            <w:r w:rsidRPr="007A2ED5">
              <w:rPr>
                <w:rFonts w:ascii="Times New Roman" w:hAnsi="Times New Roman" w:cs="Times New Roman"/>
                <w:b/>
                <w:i/>
                <w:iCs/>
                <w:sz w:val="20"/>
                <w:szCs w:val="20"/>
                <w:lang w:val="en-GB"/>
              </w:rPr>
              <w:t>Never</w:t>
            </w:r>
          </w:p>
        </w:tc>
        <w:tc>
          <w:tcPr>
            <w:tcW w:w="1276" w:type="dxa"/>
            <w:gridSpan w:val="2"/>
            <w:tcBorders>
              <w:top w:val="nil"/>
              <w:left w:val="nil"/>
              <w:bottom w:val="nil"/>
              <w:right w:val="nil"/>
            </w:tcBorders>
          </w:tcPr>
          <w:p w14:paraId="200682F2"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669</w:t>
            </w:r>
          </w:p>
        </w:tc>
        <w:tc>
          <w:tcPr>
            <w:tcW w:w="1843" w:type="dxa"/>
            <w:tcBorders>
              <w:top w:val="nil"/>
              <w:left w:val="nil"/>
              <w:bottom w:val="nil"/>
              <w:right w:val="nil"/>
            </w:tcBorders>
          </w:tcPr>
          <w:p w14:paraId="34DA32BD" w14:textId="77777777" w:rsidR="00CD0D28" w:rsidRPr="007A2ED5" w:rsidRDefault="00CD0D28" w:rsidP="002A5CF5">
            <w:pPr>
              <w:widowControl w:val="0"/>
              <w:autoSpaceDE w:val="0"/>
              <w:autoSpaceDN w:val="0"/>
              <w:adjustRightInd w:val="0"/>
              <w:jc w:val="right"/>
              <w:rPr>
                <w:rFonts w:ascii="Times New Roman" w:hAnsi="Times New Roman" w:cs="Times New Roman"/>
                <w:b/>
                <w:i/>
                <w:iCs/>
                <w:sz w:val="20"/>
                <w:szCs w:val="20"/>
                <w:lang w:val="en-GB"/>
              </w:rPr>
            </w:pPr>
            <w:r w:rsidRPr="007A2ED5">
              <w:rPr>
                <w:rFonts w:ascii="Times New Roman" w:hAnsi="Times New Roman" w:cs="Times New Roman"/>
                <w:b/>
                <w:i/>
                <w:iCs/>
                <w:sz w:val="20"/>
                <w:szCs w:val="20"/>
                <w:lang w:val="en-GB"/>
              </w:rPr>
              <w:t>Never</w:t>
            </w:r>
          </w:p>
        </w:tc>
      </w:tr>
      <w:tr w:rsidR="00CD0D28" w:rsidRPr="007F78BA" w14:paraId="770D4985" w14:textId="77777777" w:rsidTr="002A5CF5">
        <w:trPr>
          <w:trHeight w:val="275"/>
          <w:jc w:val="center"/>
        </w:trPr>
        <w:tc>
          <w:tcPr>
            <w:tcW w:w="2429" w:type="dxa"/>
            <w:tcBorders>
              <w:top w:val="nil"/>
              <w:left w:val="nil"/>
              <w:bottom w:val="nil"/>
              <w:right w:val="nil"/>
            </w:tcBorders>
          </w:tcPr>
          <w:p w14:paraId="7A2B9A6B" w14:textId="77777777" w:rsidR="00CD0D28" w:rsidRPr="007F78BA" w:rsidRDefault="00CD0D28" w:rsidP="002A5CF5">
            <w:pPr>
              <w:widowControl w:val="0"/>
              <w:autoSpaceDE w:val="0"/>
              <w:autoSpaceDN w:val="0"/>
              <w:adjustRightInd w:val="0"/>
              <w:rPr>
                <w:rFonts w:ascii="Times New Roman" w:hAnsi="Times New Roman" w:cs="Times New Roman"/>
                <w:sz w:val="20"/>
                <w:szCs w:val="20"/>
                <w:lang w:val="en-GB"/>
              </w:rPr>
            </w:pPr>
            <w:r w:rsidRPr="007F78BA">
              <w:rPr>
                <w:rFonts w:ascii="Times New Roman" w:hAnsi="Times New Roman" w:cs="Times New Roman"/>
                <w:sz w:val="20"/>
                <w:szCs w:val="20"/>
                <w:lang w:val="en-GB"/>
              </w:rPr>
              <w:t>GHB/L</w:t>
            </w:r>
          </w:p>
        </w:tc>
        <w:tc>
          <w:tcPr>
            <w:tcW w:w="832" w:type="dxa"/>
            <w:tcBorders>
              <w:top w:val="nil"/>
              <w:left w:val="nil"/>
              <w:bottom w:val="nil"/>
              <w:right w:val="nil"/>
            </w:tcBorders>
          </w:tcPr>
          <w:p w14:paraId="75CFF633"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3,874</w:t>
            </w:r>
          </w:p>
        </w:tc>
        <w:tc>
          <w:tcPr>
            <w:tcW w:w="1842" w:type="dxa"/>
            <w:tcBorders>
              <w:top w:val="nil"/>
              <w:left w:val="nil"/>
              <w:bottom w:val="nil"/>
              <w:right w:val="nil"/>
            </w:tcBorders>
          </w:tcPr>
          <w:p w14:paraId="46250221" w14:textId="77777777" w:rsidR="00CD0D28" w:rsidRPr="007A2ED5" w:rsidRDefault="00CD0D28" w:rsidP="002A5CF5">
            <w:pPr>
              <w:widowControl w:val="0"/>
              <w:autoSpaceDE w:val="0"/>
              <w:autoSpaceDN w:val="0"/>
              <w:adjustRightInd w:val="0"/>
              <w:jc w:val="right"/>
              <w:rPr>
                <w:rFonts w:ascii="Times New Roman" w:hAnsi="Times New Roman" w:cs="Times New Roman"/>
                <w:b/>
                <w:i/>
                <w:iCs/>
                <w:sz w:val="20"/>
                <w:szCs w:val="20"/>
                <w:lang w:val="en-GB"/>
              </w:rPr>
            </w:pPr>
            <w:r w:rsidRPr="007A2ED5">
              <w:rPr>
                <w:rFonts w:ascii="Times New Roman" w:hAnsi="Times New Roman" w:cs="Times New Roman"/>
                <w:b/>
                <w:i/>
                <w:iCs/>
                <w:sz w:val="20"/>
                <w:szCs w:val="20"/>
                <w:lang w:val="en-GB"/>
              </w:rPr>
              <w:t>Never</w:t>
            </w:r>
          </w:p>
        </w:tc>
        <w:tc>
          <w:tcPr>
            <w:tcW w:w="1276" w:type="dxa"/>
            <w:gridSpan w:val="2"/>
            <w:tcBorders>
              <w:top w:val="nil"/>
              <w:left w:val="nil"/>
              <w:bottom w:val="nil"/>
              <w:right w:val="nil"/>
            </w:tcBorders>
          </w:tcPr>
          <w:p w14:paraId="14CF92B8"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669</w:t>
            </w:r>
          </w:p>
        </w:tc>
        <w:tc>
          <w:tcPr>
            <w:tcW w:w="1843" w:type="dxa"/>
            <w:tcBorders>
              <w:top w:val="nil"/>
              <w:left w:val="nil"/>
              <w:bottom w:val="nil"/>
              <w:right w:val="nil"/>
            </w:tcBorders>
          </w:tcPr>
          <w:p w14:paraId="7A3C5171" w14:textId="77777777" w:rsidR="00CD0D28" w:rsidRPr="007A2ED5" w:rsidRDefault="00CD0D28" w:rsidP="002A5CF5">
            <w:pPr>
              <w:widowControl w:val="0"/>
              <w:autoSpaceDE w:val="0"/>
              <w:autoSpaceDN w:val="0"/>
              <w:adjustRightInd w:val="0"/>
              <w:jc w:val="right"/>
              <w:rPr>
                <w:rFonts w:ascii="Times New Roman" w:hAnsi="Times New Roman" w:cs="Times New Roman"/>
                <w:b/>
                <w:i/>
                <w:iCs/>
                <w:sz w:val="20"/>
                <w:szCs w:val="20"/>
                <w:lang w:val="en-GB"/>
              </w:rPr>
            </w:pPr>
            <w:r w:rsidRPr="007A2ED5">
              <w:rPr>
                <w:rFonts w:ascii="Times New Roman" w:hAnsi="Times New Roman" w:cs="Times New Roman"/>
                <w:b/>
                <w:i/>
                <w:iCs/>
                <w:sz w:val="20"/>
                <w:szCs w:val="20"/>
                <w:lang w:val="en-GB"/>
              </w:rPr>
              <w:t>Never</w:t>
            </w:r>
          </w:p>
        </w:tc>
      </w:tr>
      <w:tr w:rsidR="00CD0D28" w:rsidRPr="007F78BA" w14:paraId="7D9E4E67" w14:textId="77777777" w:rsidTr="002A5CF5">
        <w:trPr>
          <w:trHeight w:val="275"/>
          <w:jc w:val="center"/>
        </w:trPr>
        <w:tc>
          <w:tcPr>
            <w:tcW w:w="2429" w:type="dxa"/>
            <w:tcBorders>
              <w:top w:val="nil"/>
              <w:left w:val="nil"/>
              <w:bottom w:val="nil"/>
              <w:right w:val="nil"/>
            </w:tcBorders>
          </w:tcPr>
          <w:p w14:paraId="53CA5BB1" w14:textId="77777777" w:rsidR="00CD0D28" w:rsidRPr="007F78BA" w:rsidRDefault="00CD0D28" w:rsidP="002A5CF5">
            <w:pPr>
              <w:widowControl w:val="0"/>
              <w:autoSpaceDE w:val="0"/>
              <w:autoSpaceDN w:val="0"/>
              <w:adjustRightInd w:val="0"/>
              <w:rPr>
                <w:rFonts w:ascii="Times New Roman" w:hAnsi="Times New Roman" w:cs="Times New Roman"/>
                <w:sz w:val="20"/>
                <w:szCs w:val="20"/>
                <w:lang w:val="en-GB"/>
              </w:rPr>
            </w:pPr>
            <w:r w:rsidRPr="007F78BA">
              <w:rPr>
                <w:rFonts w:ascii="Times New Roman" w:hAnsi="Times New Roman" w:cs="Times New Roman"/>
                <w:sz w:val="20"/>
                <w:szCs w:val="20"/>
                <w:lang w:val="en-GB"/>
              </w:rPr>
              <w:t>Speed</w:t>
            </w:r>
          </w:p>
        </w:tc>
        <w:tc>
          <w:tcPr>
            <w:tcW w:w="832" w:type="dxa"/>
            <w:tcBorders>
              <w:top w:val="nil"/>
              <w:left w:val="nil"/>
              <w:bottom w:val="nil"/>
              <w:right w:val="nil"/>
            </w:tcBorders>
          </w:tcPr>
          <w:p w14:paraId="152C7031"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3,872</w:t>
            </w:r>
          </w:p>
        </w:tc>
        <w:tc>
          <w:tcPr>
            <w:tcW w:w="1842" w:type="dxa"/>
            <w:tcBorders>
              <w:top w:val="nil"/>
              <w:left w:val="nil"/>
              <w:bottom w:val="nil"/>
              <w:right w:val="nil"/>
            </w:tcBorders>
          </w:tcPr>
          <w:p w14:paraId="64D8C7F0" w14:textId="77777777" w:rsidR="00CD0D28" w:rsidRPr="007A2ED5" w:rsidRDefault="00CD0D28" w:rsidP="002A5CF5">
            <w:pPr>
              <w:widowControl w:val="0"/>
              <w:autoSpaceDE w:val="0"/>
              <w:autoSpaceDN w:val="0"/>
              <w:adjustRightInd w:val="0"/>
              <w:jc w:val="right"/>
              <w:rPr>
                <w:rFonts w:ascii="Times New Roman" w:hAnsi="Times New Roman" w:cs="Times New Roman"/>
                <w:b/>
                <w:i/>
                <w:iCs/>
                <w:sz w:val="20"/>
                <w:szCs w:val="20"/>
                <w:lang w:val="en-GB"/>
              </w:rPr>
            </w:pPr>
            <w:r w:rsidRPr="007A2ED5">
              <w:rPr>
                <w:rFonts w:ascii="Times New Roman" w:hAnsi="Times New Roman" w:cs="Times New Roman"/>
                <w:b/>
                <w:i/>
                <w:iCs/>
                <w:sz w:val="20"/>
                <w:szCs w:val="20"/>
                <w:lang w:val="en-GB"/>
              </w:rPr>
              <w:t>Never</w:t>
            </w:r>
          </w:p>
        </w:tc>
        <w:tc>
          <w:tcPr>
            <w:tcW w:w="1276" w:type="dxa"/>
            <w:gridSpan w:val="2"/>
            <w:tcBorders>
              <w:top w:val="nil"/>
              <w:left w:val="nil"/>
              <w:bottom w:val="nil"/>
              <w:right w:val="nil"/>
            </w:tcBorders>
          </w:tcPr>
          <w:p w14:paraId="6B7B2E9B"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669</w:t>
            </w:r>
          </w:p>
        </w:tc>
        <w:tc>
          <w:tcPr>
            <w:tcW w:w="1843" w:type="dxa"/>
            <w:tcBorders>
              <w:top w:val="nil"/>
              <w:left w:val="nil"/>
              <w:bottom w:val="nil"/>
              <w:right w:val="nil"/>
            </w:tcBorders>
          </w:tcPr>
          <w:p w14:paraId="6FB7EA24" w14:textId="77777777" w:rsidR="00CD0D28" w:rsidRPr="007A2ED5" w:rsidRDefault="00CD0D28" w:rsidP="002A5CF5">
            <w:pPr>
              <w:widowControl w:val="0"/>
              <w:autoSpaceDE w:val="0"/>
              <w:autoSpaceDN w:val="0"/>
              <w:adjustRightInd w:val="0"/>
              <w:jc w:val="right"/>
              <w:rPr>
                <w:rFonts w:ascii="Times New Roman" w:hAnsi="Times New Roman" w:cs="Times New Roman"/>
                <w:b/>
                <w:i/>
                <w:iCs/>
                <w:sz w:val="20"/>
                <w:szCs w:val="20"/>
                <w:lang w:val="en-GB"/>
              </w:rPr>
            </w:pPr>
            <w:r w:rsidRPr="007A2ED5">
              <w:rPr>
                <w:rFonts w:ascii="Times New Roman" w:hAnsi="Times New Roman" w:cs="Times New Roman"/>
                <w:b/>
                <w:i/>
                <w:iCs/>
                <w:sz w:val="20"/>
                <w:szCs w:val="20"/>
                <w:lang w:val="en-GB"/>
              </w:rPr>
              <w:t>Never</w:t>
            </w:r>
          </w:p>
        </w:tc>
      </w:tr>
      <w:tr w:rsidR="00CD0D28" w:rsidRPr="007F78BA" w14:paraId="5CBB8545" w14:textId="77777777" w:rsidTr="002A5CF5">
        <w:trPr>
          <w:trHeight w:val="82"/>
          <w:jc w:val="center"/>
        </w:trPr>
        <w:tc>
          <w:tcPr>
            <w:tcW w:w="2429" w:type="dxa"/>
            <w:tcBorders>
              <w:top w:val="nil"/>
              <w:left w:val="nil"/>
              <w:bottom w:val="single" w:sz="6" w:space="0" w:color="auto"/>
              <w:right w:val="nil"/>
            </w:tcBorders>
          </w:tcPr>
          <w:p w14:paraId="3D32B1D7" w14:textId="77777777" w:rsidR="00CD0D28" w:rsidRPr="007F78BA" w:rsidRDefault="00CD0D28" w:rsidP="002A5CF5">
            <w:pPr>
              <w:widowControl w:val="0"/>
              <w:autoSpaceDE w:val="0"/>
              <w:autoSpaceDN w:val="0"/>
              <w:adjustRightInd w:val="0"/>
              <w:rPr>
                <w:rFonts w:ascii="Times New Roman" w:hAnsi="Times New Roman" w:cs="Times New Roman"/>
                <w:sz w:val="20"/>
                <w:szCs w:val="20"/>
                <w:lang w:val="en-GB"/>
              </w:rPr>
            </w:pPr>
            <w:r w:rsidRPr="007F78BA">
              <w:rPr>
                <w:rFonts w:ascii="Times New Roman" w:hAnsi="Times New Roman" w:cs="Times New Roman"/>
                <w:sz w:val="20"/>
                <w:szCs w:val="20"/>
                <w:lang w:val="en-GB"/>
              </w:rPr>
              <w:t>Cocaine</w:t>
            </w:r>
          </w:p>
        </w:tc>
        <w:tc>
          <w:tcPr>
            <w:tcW w:w="832" w:type="dxa"/>
            <w:tcBorders>
              <w:top w:val="nil"/>
              <w:left w:val="nil"/>
              <w:bottom w:val="single" w:sz="6" w:space="0" w:color="auto"/>
              <w:right w:val="nil"/>
            </w:tcBorders>
          </w:tcPr>
          <w:p w14:paraId="5CDD58A6"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3,871</w:t>
            </w:r>
          </w:p>
        </w:tc>
        <w:tc>
          <w:tcPr>
            <w:tcW w:w="1842" w:type="dxa"/>
            <w:tcBorders>
              <w:top w:val="nil"/>
              <w:left w:val="nil"/>
              <w:bottom w:val="single" w:sz="6" w:space="0" w:color="auto"/>
              <w:right w:val="nil"/>
            </w:tcBorders>
          </w:tcPr>
          <w:p w14:paraId="329EC673" w14:textId="77777777" w:rsidR="00CD0D28" w:rsidRPr="007A2ED5" w:rsidRDefault="00CD0D28" w:rsidP="002A5CF5">
            <w:pPr>
              <w:widowControl w:val="0"/>
              <w:autoSpaceDE w:val="0"/>
              <w:autoSpaceDN w:val="0"/>
              <w:adjustRightInd w:val="0"/>
              <w:jc w:val="right"/>
              <w:rPr>
                <w:rFonts w:ascii="Times New Roman" w:hAnsi="Times New Roman" w:cs="Times New Roman"/>
                <w:b/>
                <w:i/>
                <w:iCs/>
                <w:sz w:val="20"/>
                <w:szCs w:val="20"/>
                <w:lang w:val="en-GB"/>
              </w:rPr>
            </w:pPr>
            <w:r w:rsidRPr="007A2ED5">
              <w:rPr>
                <w:rFonts w:ascii="Times New Roman" w:hAnsi="Times New Roman" w:cs="Times New Roman"/>
                <w:b/>
                <w:i/>
                <w:iCs/>
                <w:sz w:val="20"/>
                <w:szCs w:val="20"/>
                <w:lang w:val="en-GB"/>
              </w:rPr>
              <w:t>Never</w:t>
            </w:r>
          </w:p>
        </w:tc>
        <w:tc>
          <w:tcPr>
            <w:tcW w:w="1276" w:type="dxa"/>
            <w:gridSpan w:val="2"/>
            <w:tcBorders>
              <w:top w:val="nil"/>
              <w:left w:val="nil"/>
              <w:bottom w:val="single" w:sz="6" w:space="0" w:color="auto"/>
              <w:right w:val="nil"/>
            </w:tcBorders>
          </w:tcPr>
          <w:p w14:paraId="10300412" w14:textId="77777777" w:rsidR="00CD0D28" w:rsidRPr="007F78BA" w:rsidRDefault="00CD0D28" w:rsidP="002A5CF5">
            <w:pPr>
              <w:widowControl w:val="0"/>
              <w:autoSpaceDE w:val="0"/>
              <w:autoSpaceDN w:val="0"/>
              <w:adjustRightInd w:val="0"/>
              <w:jc w:val="right"/>
              <w:rPr>
                <w:rFonts w:ascii="Times New Roman" w:hAnsi="Times New Roman" w:cs="Times New Roman"/>
                <w:sz w:val="20"/>
                <w:szCs w:val="20"/>
                <w:lang w:val="en-GB"/>
              </w:rPr>
            </w:pPr>
            <w:r w:rsidRPr="007F78BA">
              <w:rPr>
                <w:rFonts w:ascii="Times New Roman" w:hAnsi="Times New Roman" w:cs="Times New Roman"/>
                <w:sz w:val="20"/>
                <w:szCs w:val="20"/>
                <w:lang w:val="en-GB"/>
              </w:rPr>
              <w:t>670</w:t>
            </w:r>
          </w:p>
        </w:tc>
        <w:tc>
          <w:tcPr>
            <w:tcW w:w="1843" w:type="dxa"/>
            <w:tcBorders>
              <w:top w:val="nil"/>
              <w:left w:val="nil"/>
              <w:bottom w:val="single" w:sz="6" w:space="0" w:color="auto"/>
              <w:right w:val="nil"/>
            </w:tcBorders>
          </w:tcPr>
          <w:p w14:paraId="1D18D54C" w14:textId="77777777" w:rsidR="00CD0D28" w:rsidRPr="007A2ED5" w:rsidRDefault="00CD0D28" w:rsidP="002A5CF5">
            <w:pPr>
              <w:widowControl w:val="0"/>
              <w:autoSpaceDE w:val="0"/>
              <w:autoSpaceDN w:val="0"/>
              <w:adjustRightInd w:val="0"/>
              <w:jc w:val="right"/>
              <w:rPr>
                <w:rFonts w:ascii="Times New Roman" w:hAnsi="Times New Roman" w:cs="Times New Roman"/>
                <w:b/>
                <w:i/>
                <w:iCs/>
                <w:sz w:val="20"/>
                <w:szCs w:val="20"/>
                <w:lang w:val="en-GB"/>
              </w:rPr>
            </w:pPr>
            <w:r w:rsidRPr="007A2ED5">
              <w:rPr>
                <w:rFonts w:ascii="Times New Roman" w:hAnsi="Times New Roman" w:cs="Times New Roman"/>
                <w:b/>
                <w:i/>
                <w:iCs/>
                <w:sz w:val="20"/>
                <w:szCs w:val="20"/>
                <w:lang w:val="en-GB"/>
              </w:rPr>
              <w:t>Never</w:t>
            </w:r>
          </w:p>
        </w:tc>
      </w:tr>
    </w:tbl>
    <w:p w14:paraId="1403F62E" w14:textId="77777777" w:rsidR="0086268D" w:rsidRPr="007F78BA" w:rsidRDefault="0086268D" w:rsidP="0086268D">
      <w:pPr>
        <w:widowControl w:val="0"/>
        <w:autoSpaceDE w:val="0"/>
        <w:autoSpaceDN w:val="0"/>
        <w:adjustRightInd w:val="0"/>
        <w:jc w:val="both"/>
        <w:rPr>
          <w:rFonts w:ascii="Times New Roman" w:hAnsi="Times New Roman" w:cs="Times New Roman"/>
          <w:b/>
          <w:sz w:val="20"/>
          <w:szCs w:val="20"/>
          <w:lang w:val="en-GB"/>
        </w:rPr>
      </w:pPr>
    </w:p>
    <w:p w14:paraId="3638E329" w14:textId="78730C23" w:rsidR="0086268D" w:rsidRPr="007F78BA" w:rsidRDefault="0086268D" w:rsidP="0086268D">
      <w:pPr>
        <w:widowControl w:val="0"/>
        <w:autoSpaceDE w:val="0"/>
        <w:autoSpaceDN w:val="0"/>
        <w:adjustRightInd w:val="0"/>
        <w:jc w:val="both"/>
        <w:rPr>
          <w:rFonts w:ascii="Times New Roman" w:hAnsi="Times New Roman" w:cs="Times New Roman"/>
          <w:sz w:val="20"/>
          <w:szCs w:val="20"/>
          <w:lang w:val="en-GB"/>
        </w:rPr>
      </w:pPr>
      <w:r w:rsidRPr="007F78BA">
        <w:rPr>
          <w:rFonts w:ascii="Times New Roman" w:hAnsi="Times New Roman" w:cs="Times New Roman"/>
          <w:b/>
          <w:sz w:val="20"/>
          <w:szCs w:val="20"/>
          <w:lang w:val="en-GB"/>
        </w:rPr>
        <w:t xml:space="preserve">Notes:  </w:t>
      </w:r>
      <w:r w:rsidRPr="007F78BA">
        <w:rPr>
          <w:rFonts w:ascii="Times New Roman" w:hAnsi="Times New Roman" w:cs="Times New Roman"/>
          <w:sz w:val="20"/>
          <w:szCs w:val="20"/>
          <w:lang w:val="en-GB"/>
        </w:rPr>
        <w:t xml:space="preserve">Differences between Spain and Turkey for all variables were all significant and P&lt;0.001 (except for </w:t>
      </w:r>
      <w:r w:rsidR="00E93EC1">
        <w:rPr>
          <w:rFonts w:ascii="Times New Roman" w:hAnsi="Times New Roman" w:cs="Times New Roman"/>
          <w:sz w:val="20"/>
          <w:szCs w:val="20"/>
          <w:lang w:val="en-GB"/>
        </w:rPr>
        <w:t>SUIS</w:t>
      </w:r>
      <w:r w:rsidRPr="007F78BA">
        <w:rPr>
          <w:rFonts w:ascii="Times New Roman" w:hAnsi="Times New Roman" w:cs="Times New Roman"/>
          <w:sz w:val="20"/>
          <w:szCs w:val="20"/>
          <w:lang w:val="en-GB"/>
        </w:rPr>
        <w:t xml:space="preserve"> (P=0.001) and GHB/L (P=0.005)). </w:t>
      </w:r>
      <w:r w:rsidRPr="007F78BA">
        <w:rPr>
          <w:rFonts w:ascii="Times New Roman" w:hAnsi="Times New Roman" w:cs="Times New Roman"/>
          <w:b/>
          <w:sz w:val="20"/>
          <w:szCs w:val="20"/>
          <w:lang w:val="en-GB"/>
        </w:rPr>
        <w:t xml:space="preserve">SRB, </w:t>
      </w:r>
      <w:r w:rsidRPr="007F78BA">
        <w:rPr>
          <w:rFonts w:ascii="Times New Roman" w:hAnsi="Times New Roman" w:cs="Times New Roman"/>
          <w:sz w:val="20"/>
          <w:szCs w:val="20"/>
          <w:lang w:val="en-GB"/>
        </w:rPr>
        <w:t>Sexual Risk Behaviour;</w:t>
      </w:r>
      <w:r w:rsidRPr="007F78BA">
        <w:rPr>
          <w:rFonts w:ascii="Times New Roman" w:hAnsi="Times New Roman" w:cs="Times New Roman"/>
          <w:b/>
          <w:sz w:val="20"/>
          <w:szCs w:val="20"/>
          <w:lang w:val="en-GB"/>
        </w:rPr>
        <w:t xml:space="preserve"> SIHS,</w:t>
      </w:r>
      <w:r w:rsidRPr="007F78BA">
        <w:rPr>
          <w:rFonts w:ascii="Times New Roman" w:hAnsi="Times New Roman" w:cs="Times New Roman"/>
          <w:sz w:val="20"/>
          <w:szCs w:val="20"/>
          <w:lang w:val="en-GB"/>
        </w:rPr>
        <w:t xml:space="preserve"> Short Internalised Homonegativity Scale. </w:t>
      </w:r>
      <w:r w:rsidRPr="007F78BA">
        <w:rPr>
          <w:rFonts w:ascii="Times New Roman" w:hAnsi="Times New Roman" w:cs="Times New Roman"/>
          <w:b/>
          <w:sz w:val="18"/>
          <w:szCs w:val="18"/>
          <w:lang w:val="en-GB"/>
        </w:rPr>
        <w:t>IHS1…7</w:t>
      </w:r>
      <w:r w:rsidRPr="007F78BA">
        <w:rPr>
          <w:rFonts w:ascii="Times New Roman" w:hAnsi="Times New Roman" w:cs="Times New Roman"/>
          <w:sz w:val="18"/>
          <w:szCs w:val="18"/>
          <w:lang w:val="en-GB"/>
        </w:rPr>
        <w:t>: Seven Internalised Homonegativity Scale items</w:t>
      </w:r>
      <w:r w:rsidRPr="007F78BA">
        <w:rPr>
          <w:rFonts w:ascii="Times New Roman" w:hAnsi="Times New Roman" w:cs="Times New Roman"/>
          <w:b/>
          <w:sz w:val="20"/>
          <w:szCs w:val="20"/>
          <w:lang w:val="en-GB"/>
        </w:rPr>
        <w:t xml:space="preserve"> </w:t>
      </w:r>
      <w:proofErr w:type="spellStart"/>
      <w:r w:rsidRPr="007F78BA">
        <w:rPr>
          <w:rFonts w:ascii="Times New Roman" w:hAnsi="Times New Roman" w:cs="Times New Roman"/>
          <w:b/>
          <w:sz w:val="20"/>
          <w:szCs w:val="20"/>
          <w:lang w:val="en-GB"/>
        </w:rPr>
        <w:t>HPK</w:t>
      </w:r>
      <w:proofErr w:type="spellEnd"/>
      <w:r w:rsidRPr="007F78BA">
        <w:rPr>
          <w:rFonts w:ascii="Times New Roman" w:hAnsi="Times New Roman" w:cs="Times New Roman"/>
          <w:b/>
          <w:sz w:val="20"/>
          <w:szCs w:val="20"/>
          <w:lang w:val="en-GB"/>
        </w:rPr>
        <w:t xml:space="preserve">, </w:t>
      </w:r>
      <w:r w:rsidRPr="007F78BA">
        <w:rPr>
          <w:rFonts w:ascii="Times New Roman" w:hAnsi="Times New Roman" w:cs="Times New Roman"/>
          <w:sz w:val="20"/>
          <w:szCs w:val="20"/>
          <w:lang w:val="en-GB"/>
        </w:rPr>
        <w:t>HIV/</w:t>
      </w:r>
      <w:proofErr w:type="spellStart"/>
      <w:r w:rsidRPr="007F78BA">
        <w:rPr>
          <w:rFonts w:ascii="Times New Roman" w:hAnsi="Times New Roman" w:cs="Times New Roman"/>
          <w:sz w:val="20"/>
          <w:szCs w:val="20"/>
          <w:lang w:val="en-GB"/>
        </w:rPr>
        <w:t>PrEP</w:t>
      </w:r>
      <w:proofErr w:type="spellEnd"/>
      <w:r w:rsidRPr="007F78BA">
        <w:rPr>
          <w:rFonts w:ascii="Times New Roman" w:hAnsi="Times New Roman" w:cs="Times New Roman"/>
          <w:sz w:val="20"/>
          <w:szCs w:val="20"/>
          <w:lang w:val="en-GB"/>
        </w:rPr>
        <w:t xml:space="preserve"> Knowledge Additive Scale; </w:t>
      </w:r>
      <w:r w:rsidR="00E93EC1">
        <w:rPr>
          <w:rFonts w:ascii="Times New Roman" w:hAnsi="Times New Roman" w:cs="Times New Roman"/>
          <w:b/>
          <w:sz w:val="20"/>
          <w:szCs w:val="20"/>
          <w:lang w:val="en-GB"/>
        </w:rPr>
        <w:t>SUIS</w:t>
      </w:r>
      <w:r w:rsidRPr="007F78BA">
        <w:rPr>
          <w:rFonts w:ascii="Times New Roman" w:hAnsi="Times New Roman" w:cs="Times New Roman"/>
          <w:b/>
          <w:sz w:val="20"/>
          <w:szCs w:val="20"/>
          <w:lang w:val="en-GB"/>
        </w:rPr>
        <w:t>,</w:t>
      </w:r>
      <w:r w:rsidRPr="007F78BA">
        <w:rPr>
          <w:rFonts w:ascii="Times New Roman" w:hAnsi="Times New Roman" w:cs="Times New Roman"/>
          <w:sz w:val="20"/>
          <w:szCs w:val="20"/>
          <w:lang w:val="en-GB"/>
        </w:rPr>
        <w:t xml:space="preserve"> </w:t>
      </w:r>
      <w:r w:rsidR="00B617AA" w:rsidRPr="00B617AA">
        <w:rPr>
          <w:rFonts w:ascii="Times New Roman" w:hAnsi="Times New Roman" w:cs="Times New Roman"/>
          <w:sz w:val="20"/>
          <w:szCs w:val="20"/>
          <w:lang w:val="en-GB"/>
        </w:rPr>
        <w:t>Sex Under the Influence of Substances</w:t>
      </w:r>
      <w:r w:rsidRPr="007F78BA">
        <w:rPr>
          <w:rFonts w:ascii="Times New Roman" w:hAnsi="Times New Roman" w:cs="Times New Roman"/>
          <w:sz w:val="20"/>
          <w:szCs w:val="20"/>
          <w:lang w:val="en-GB"/>
        </w:rPr>
        <w:t xml:space="preserve">; </w:t>
      </w:r>
      <w:r w:rsidRPr="007F78BA">
        <w:rPr>
          <w:rFonts w:ascii="Times New Roman" w:hAnsi="Times New Roman" w:cs="Times New Roman"/>
          <w:b/>
          <w:sz w:val="20"/>
          <w:szCs w:val="20"/>
          <w:lang w:val="en-GB"/>
        </w:rPr>
        <w:t>GHB/L</w:t>
      </w:r>
      <w:r w:rsidRPr="007F78BA">
        <w:rPr>
          <w:rFonts w:ascii="Times New Roman" w:hAnsi="Times New Roman" w:cs="Times New Roman"/>
          <w:sz w:val="20"/>
          <w:szCs w:val="20"/>
          <w:lang w:val="en-GB"/>
        </w:rPr>
        <w:t xml:space="preserve">, gamma-Hydroxybutyric acid/Butyrolactone. </w:t>
      </w:r>
    </w:p>
    <w:p w14:paraId="20F49EE8" w14:textId="0012B59C" w:rsidR="00CD0D28" w:rsidRPr="007F78BA" w:rsidRDefault="00CD0D28" w:rsidP="00CD0D28">
      <w:pPr>
        <w:rPr>
          <w:lang w:val="en-GB"/>
        </w:rPr>
      </w:pPr>
    </w:p>
    <w:p w14:paraId="68CDC137" w14:textId="0AEB9901" w:rsidR="00E34075" w:rsidRPr="007F78BA" w:rsidRDefault="00E34075" w:rsidP="00E34075">
      <w:pPr>
        <w:pStyle w:val="Overskrift2"/>
        <w:rPr>
          <w:lang w:val="en-GB"/>
        </w:rPr>
      </w:pPr>
      <w:r w:rsidRPr="007F78BA">
        <w:rPr>
          <w:lang w:val="en-GB"/>
        </w:rPr>
        <w:lastRenderedPageBreak/>
        <w:t>Confirmatory Factor Analysis</w:t>
      </w:r>
    </w:p>
    <w:p w14:paraId="6C0E323A" w14:textId="1188F1E1" w:rsidR="005A16B3" w:rsidRPr="007F78BA" w:rsidRDefault="00703D3C" w:rsidP="00FD34CB">
      <w:pPr>
        <w:ind w:firstLine="720"/>
        <w:rPr>
          <w:rFonts w:ascii="Times New Roman" w:eastAsia="Times New Roman" w:hAnsi="Times New Roman" w:cs="Times New Roman"/>
          <w:lang w:val="en-GB"/>
        </w:rPr>
      </w:pPr>
      <w:r>
        <w:rPr>
          <w:rFonts w:ascii="Times New Roman" w:eastAsia="Times New Roman" w:hAnsi="Times New Roman" w:cs="Times New Roman"/>
          <w:lang w:val="en-GB"/>
        </w:rPr>
        <w:t xml:space="preserve">The </w:t>
      </w:r>
      <w:r w:rsidR="00FD34CB" w:rsidRPr="007F78BA">
        <w:rPr>
          <w:rFonts w:ascii="Times New Roman" w:eastAsia="Times New Roman" w:hAnsi="Times New Roman" w:cs="Times New Roman"/>
          <w:lang w:val="en-GB"/>
        </w:rPr>
        <w:t xml:space="preserve">CFA model for each country showed a good fit to the data separately Spain: CFI = .97; TLI. = .96; RMSEA = 0.03, Turkey: CFI = .95; TLI = .94; RMSEA = 0.04. </w:t>
      </w:r>
      <w:r w:rsidR="007969BE">
        <w:rPr>
          <w:rFonts w:ascii="Times New Roman" w:eastAsia="Times New Roman" w:hAnsi="Times New Roman" w:cs="Times New Roman"/>
          <w:lang w:val="en-GB"/>
        </w:rPr>
        <w:t>W</w:t>
      </w:r>
      <w:r w:rsidR="00FD34CB" w:rsidRPr="007F78BA">
        <w:rPr>
          <w:rFonts w:ascii="Times New Roman" w:eastAsia="Times New Roman" w:hAnsi="Times New Roman" w:cs="Times New Roman"/>
          <w:lang w:val="en-GB"/>
        </w:rPr>
        <w:t xml:space="preserve">e established the measurement invariance for the multi-group CFA step-by-step (see Appendix) </w:t>
      </w:r>
      <w:proofErr w:type="gramStart"/>
      <w:r w:rsidR="00FD34CB" w:rsidRPr="007F78BA">
        <w:rPr>
          <w:rFonts w:ascii="Times New Roman" w:eastAsia="Times New Roman" w:hAnsi="Times New Roman" w:cs="Times New Roman"/>
          <w:lang w:val="en-GB"/>
        </w:rPr>
        <w:t>and</w:t>
      </w:r>
      <w:r w:rsidR="007969BE">
        <w:rPr>
          <w:rFonts w:ascii="Times New Roman" w:eastAsia="Times New Roman" w:hAnsi="Times New Roman" w:cs="Times New Roman"/>
          <w:lang w:val="en-GB"/>
        </w:rPr>
        <w:t xml:space="preserve"> also</w:t>
      </w:r>
      <w:proofErr w:type="gramEnd"/>
      <w:r w:rsidR="00FD34CB" w:rsidRPr="007F78BA">
        <w:rPr>
          <w:rFonts w:ascii="Times New Roman" w:eastAsia="Times New Roman" w:hAnsi="Times New Roman" w:cs="Times New Roman"/>
          <w:lang w:val="en-GB"/>
        </w:rPr>
        <w:t xml:space="preserve"> the final CFA model showed a good fit to data (CFI = 0.95, RMSEA=0.04). </w:t>
      </w:r>
    </w:p>
    <w:p w14:paraId="4A33FF6A" w14:textId="77777777" w:rsidR="005A16B3" w:rsidRPr="007F78BA" w:rsidRDefault="005A16B3" w:rsidP="00E34075">
      <w:pPr>
        <w:rPr>
          <w:lang w:val="en-GB"/>
        </w:rPr>
      </w:pPr>
    </w:p>
    <w:p w14:paraId="2A0CE48D" w14:textId="15A3DB45" w:rsidR="00FD34CB" w:rsidRPr="007F78BA" w:rsidRDefault="00E34075" w:rsidP="00F41471">
      <w:pPr>
        <w:pStyle w:val="Overskrift2"/>
        <w:rPr>
          <w:lang w:val="en-GB"/>
        </w:rPr>
      </w:pPr>
      <w:r w:rsidRPr="007F78BA">
        <w:rPr>
          <w:lang w:val="en-GB"/>
        </w:rPr>
        <w:t>Structural Equation Modelling</w:t>
      </w:r>
      <w:r w:rsidR="00EE7439" w:rsidRPr="007F78BA">
        <w:rPr>
          <w:lang w:val="en-GB"/>
        </w:rPr>
        <w:t>: Model Fit</w:t>
      </w:r>
    </w:p>
    <w:p w14:paraId="20E6A67E" w14:textId="373E8F5E" w:rsidR="00FD34CB" w:rsidRPr="007F78BA" w:rsidRDefault="005710E8" w:rsidP="00F41471">
      <w:pPr>
        <w:ind w:firstLine="720"/>
        <w:rPr>
          <w:rFonts w:ascii="Times New Roman" w:eastAsia="Times New Roman" w:hAnsi="Times New Roman" w:cs="Times New Roman"/>
          <w:lang w:val="en-GB"/>
        </w:rPr>
      </w:pPr>
      <w:r w:rsidRPr="007F78BA">
        <w:rPr>
          <w:rFonts w:ascii="Times New Roman" w:eastAsia="Times New Roman" w:hAnsi="Times New Roman" w:cs="Times New Roman"/>
          <w:lang w:val="en-GB"/>
        </w:rPr>
        <w:t xml:space="preserve">Before establishing SEM’s fit to </w:t>
      </w:r>
      <w:r w:rsidR="007969BE">
        <w:rPr>
          <w:rFonts w:ascii="Times New Roman" w:eastAsia="Times New Roman" w:hAnsi="Times New Roman" w:cs="Times New Roman"/>
          <w:lang w:val="en-GB"/>
        </w:rPr>
        <w:t xml:space="preserve">the </w:t>
      </w:r>
      <w:r w:rsidRPr="007F78BA">
        <w:rPr>
          <w:rFonts w:ascii="Times New Roman" w:eastAsia="Times New Roman" w:hAnsi="Times New Roman" w:cs="Times New Roman"/>
          <w:lang w:val="en-GB"/>
        </w:rPr>
        <w:t xml:space="preserve">data, we introduced constraints on the intercepts and paths of the model and compared </w:t>
      </w:r>
      <w:r w:rsidR="007969BE">
        <w:rPr>
          <w:rFonts w:ascii="Times New Roman" w:eastAsia="Times New Roman" w:hAnsi="Times New Roman" w:cs="Times New Roman"/>
          <w:lang w:val="en-GB"/>
        </w:rPr>
        <w:t xml:space="preserve">the results </w:t>
      </w:r>
      <w:r w:rsidRPr="007F78BA">
        <w:rPr>
          <w:rFonts w:ascii="Times New Roman" w:eastAsia="Times New Roman" w:hAnsi="Times New Roman" w:cs="Times New Roman"/>
          <w:lang w:val="en-GB"/>
        </w:rPr>
        <w:t xml:space="preserve">to the free model (see Appendix). </w:t>
      </w:r>
      <w:r w:rsidR="00F41471" w:rsidRPr="007F78BA">
        <w:rPr>
          <w:rFonts w:ascii="Times New Roman" w:eastAsia="Times New Roman" w:hAnsi="Times New Roman" w:cs="Times New Roman"/>
          <w:lang w:val="en-GB"/>
        </w:rPr>
        <w:t xml:space="preserve">The comparison </w:t>
      </w:r>
      <w:r w:rsidR="007969BE">
        <w:rPr>
          <w:rFonts w:ascii="Times New Roman" w:eastAsia="Times New Roman" w:hAnsi="Times New Roman" w:cs="Times New Roman"/>
          <w:lang w:val="en-GB"/>
        </w:rPr>
        <w:t>did not show statistical s</w:t>
      </w:r>
      <w:r w:rsidR="00F41471" w:rsidRPr="007F78BA">
        <w:rPr>
          <w:rFonts w:ascii="Times New Roman" w:eastAsia="Times New Roman" w:hAnsi="Times New Roman" w:cs="Times New Roman"/>
          <w:lang w:val="en-GB"/>
        </w:rPr>
        <w:t>ignifican</w:t>
      </w:r>
      <w:r w:rsidR="007969BE">
        <w:rPr>
          <w:rFonts w:ascii="Times New Roman" w:eastAsia="Times New Roman" w:hAnsi="Times New Roman" w:cs="Times New Roman"/>
          <w:lang w:val="en-GB"/>
        </w:rPr>
        <w:t>ce</w:t>
      </w:r>
      <w:r w:rsidR="00F41471" w:rsidRPr="007F78BA">
        <w:rPr>
          <w:rFonts w:ascii="Times New Roman" w:eastAsia="Times New Roman" w:hAnsi="Times New Roman" w:cs="Times New Roman"/>
          <w:lang w:val="en-GB"/>
        </w:rPr>
        <w:t xml:space="preserve"> (P=0.30)</w:t>
      </w:r>
      <w:r w:rsidR="000C1313">
        <w:rPr>
          <w:rFonts w:ascii="Times New Roman" w:eastAsia="Times New Roman" w:hAnsi="Times New Roman" w:cs="Times New Roman"/>
          <w:lang w:val="en-GB"/>
        </w:rPr>
        <w:t>, which</w:t>
      </w:r>
      <w:r w:rsidR="00F41471" w:rsidRPr="007F78BA">
        <w:rPr>
          <w:rFonts w:ascii="Times New Roman" w:eastAsia="Times New Roman" w:hAnsi="Times New Roman" w:cs="Times New Roman"/>
          <w:lang w:val="en-GB"/>
        </w:rPr>
        <w:t xml:space="preserve"> allowed us to conclude that the constrained model was equivalent to the free model. </w:t>
      </w:r>
      <w:r w:rsidR="007969BE">
        <w:rPr>
          <w:rFonts w:ascii="Times New Roman" w:eastAsia="Times New Roman" w:hAnsi="Times New Roman" w:cs="Times New Roman"/>
          <w:lang w:val="en-GB"/>
        </w:rPr>
        <w:t>The f</w:t>
      </w:r>
      <w:r w:rsidR="00F41471" w:rsidRPr="007F78BA">
        <w:rPr>
          <w:rFonts w:ascii="Times New Roman" w:eastAsia="Times New Roman" w:hAnsi="Times New Roman" w:cs="Times New Roman"/>
          <w:lang w:val="en-GB"/>
        </w:rPr>
        <w:t xml:space="preserve">inal multi-group SEM model (see Appendix, Table 2, row3) showed good fit to data (CFI=0.97, TLI=0.96, RMSEA=0.039 (90% CI: 0.039-0.042)). </w:t>
      </w:r>
    </w:p>
    <w:p w14:paraId="3ECA31FC" w14:textId="77777777" w:rsidR="00CD0D28" w:rsidRPr="007F78BA" w:rsidRDefault="00CD0D28" w:rsidP="00F41471">
      <w:pPr>
        <w:ind w:firstLine="720"/>
        <w:rPr>
          <w:rFonts w:ascii="Times New Roman" w:eastAsia="Times New Roman" w:hAnsi="Times New Roman" w:cs="Times New Roman"/>
          <w:lang w:val="en-GB"/>
        </w:rPr>
      </w:pPr>
    </w:p>
    <w:p w14:paraId="74FF3BBB" w14:textId="1EE88496" w:rsidR="00CC4986" w:rsidRPr="007F78BA" w:rsidRDefault="00EE7439" w:rsidP="00E34075">
      <w:pPr>
        <w:pStyle w:val="Overskrift2"/>
        <w:rPr>
          <w:lang w:val="en-GB"/>
        </w:rPr>
      </w:pPr>
      <w:r w:rsidRPr="007F78BA">
        <w:rPr>
          <w:lang w:val="en-GB"/>
        </w:rPr>
        <w:t xml:space="preserve">Structural Equation Modelling: </w:t>
      </w:r>
      <w:r w:rsidR="00B76DC5" w:rsidRPr="007F78BA">
        <w:rPr>
          <w:lang w:val="en-GB"/>
        </w:rPr>
        <w:t>Estimation</w:t>
      </w:r>
      <w:r w:rsidR="005A48D3" w:rsidRPr="007F78BA">
        <w:rPr>
          <w:lang w:val="en-GB"/>
        </w:rPr>
        <w:t xml:space="preserve">s </w:t>
      </w:r>
    </w:p>
    <w:p w14:paraId="5203763A" w14:textId="3FC55B9F" w:rsidR="00B76DC5" w:rsidRPr="007F78BA" w:rsidRDefault="00B76DC5" w:rsidP="00D85053">
      <w:pPr>
        <w:spacing w:line="276" w:lineRule="auto"/>
        <w:ind w:firstLine="720"/>
        <w:jc w:val="both"/>
        <w:rPr>
          <w:rFonts w:ascii="Times New Roman" w:eastAsia="Times New Roman" w:hAnsi="Times New Roman" w:cs="Times New Roman"/>
          <w:lang w:val="en-GB"/>
        </w:rPr>
      </w:pPr>
      <w:r w:rsidRPr="007F78BA">
        <w:rPr>
          <w:rFonts w:ascii="Times New Roman" w:eastAsia="Times New Roman" w:hAnsi="Times New Roman" w:cs="Times New Roman"/>
          <w:lang w:val="en-GB"/>
        </w:rPr>
        <w:t xml:space="preserve">We provide standardized estimates of coefficients and errors for both groups. The results are presented in Figure 1 and Table </w:t>
      </w:r>
      <w:r w:rsidR="00C156CB" w:rsidRPr="007F78BA">
        <w:rPr>
          <w:rFonts w:ascii="Times New Roman" w:eastAsia="Times New Roman" w:hAnsi="Times New Roman" w:cs="Times New Roman"/>
          <w:lang w:val="en-GB"/>
        </w:rPr>
        <w:t>2</w:t>
      </w:r>
      <w:r w:rsidRPr="007F78BA">
        <w:rPr>
          <w:rFonts w:ascii="Times New Roman" w:eastAsia="Times New Roman" w:hAnsi="Times New Roman" w:cs="Times New Roman"/>
          <w:lang w:val="en-GB"/>
        </w:rPr>
        <w:t xml:space="preserve">. The direct path from IH to SRB (dashed line, Figure 1) </w:t>
      </w:r>
      <w:r w:rsidR="007969BE">
        <w:rPr>
          <w:rFonts w:ascii="Times New Roman" w:eastAsia="Times New Roman" w:hAnsi="Times New Roman" w:cs="Times New Roman"/>
          <w:lang w:val="en-GB"/>
        </w:rPr>
        <w:t>did not reach s</w:t>
      </w:r>
      <w:r w:rsidRPr="007F78BA">
        <w:rPr>
          <w:rFonts w:ascii="Times New Roman" w:eastAsia="Times New Roman" w:hAnsi="Times New Roman" w:cs="Times New Roman"/>
          <w:lang w:val="en-GB"/>
        </w:rPr>
        <w:t>tatistical</w:t>
      </w:r>
      <w:r w:rsidR="007969BE">
        <w:rPr>
          <w:rFonts w:ascii="Times New Roman" w:eastAsia="Times New Roman" w:hAnsi="Times New Roman" w:cs="Times New Roman"/>
          <w:lang w:val="en-GB"/>
        </w:rPr>
        <w:t xml:space="preserve"> </w:t>
      </w:r>
      <w:r w:rsidR="00EF0860" w:rsidRPr="007F78BA">
        <w:rPr>
          <w:rFonts w:ascii="Times New Roman" w:eastAsia="Times New Roman" w:hAnsi="Times New Roman" w:cs="Times New Roman"/>
          <w:lang w:val="en-GB"/>
        </w:rPr>
        <w:t>significan</w:t>
      </w:r>
      <w:r w:rsidR="007969BE">
        <w:rPr>
          <w:rFonts w:ascii="Times New Roman" w:eastAsia="Times New Roman" w:hAnsi="Times New Roman" w:cs="Times New Roman"/>
          <w:lang w:val="en-GB"/>
        </w:rPr>
        <w:t>ce</w:t>
      </w:r>
      <w:r w:rsidR="00EF0860" w:rsidRPr="007F78BA">
        <w:rPr>
          <w:rFonts w:ascii="Times New Roman" w:eastAsia="Times New Roman" w:hAnsi="Times New Roman" w:cs="Times New Roman"/>
          <w:lang w:val="en-GB"/>
        </w:rPr>
        <w:t xml:space="preserve"> </w:t>
      </w:r>
      <w:r w:rsidRPr="007F78BA">
        <w:rPr>
          <w:rFonts w:ascii="Times New Roman" w:eastAsia="Times New Roman" w:hAnsi="Times New Roman" w:cs="Times New Roman"/>
          <w:lang w:val="en-GB"/>
        </w:rPr>
        <w:t xml:space="preserve">for </w:t>
      </w:r>
      <w:r w:rsidR="007969BE">
        <w:rPr>
          <w:rFonts w:ascii="Times New Roman" w:eastAsia="Times New Roman" w:hAnsi="Times New Roman" w:cs="Times New Roman"/>
          <w:lang w:val="en-GB"/>
        </w:rPr>
        <w:t>either</w:t>
      </w:r>
      <w:r w:rsidR="007969BE" w:rsidRPr="007F78BA">
        <w:rPr>
          <w:rFonts w:ascii="Times New Roman" w:eastAsia="Times New Roman" w:hAnsi="Times New Roman" w:cs="Times New Roman"/>
          <w:lang w:val="en-GB"/>
        </w:rPr>
        <w:t xml:space="preserve"> </w:t>
      </w:r>
      <w:r w:rsidR="00EF0860" w:rsidRPr="007F78BA">
        <w:rPr>
          <w:rFonts w:ascii="Times New Roman" w:eastAsia="Times New Roman" w:hAnsi="Times New Roman" w:cs="Times New Roman"/>
          <w:lang w:val="en-GB"/>
        </w:rPr>
        <w:t>sample</w:t>
      </w:r>
      <w:r w:rsidRPr="007F78BA">
        <w:rPr>
          <w:rFonts w:ascii="Times New Roman" w:eastAsia="Times New Roman" w:hAnsi="Times New Roman" w:cs="Times New Roman"/>
          <w:lang w:val="en-GB"/>
        </w:rPr>
        <w:t xml:space="preserve">. </w:t>
      </w:r>
    </w:p>
    <w:p w14:paraId="7866BC3F" w14:textId="0E1ED2F3" w:rsidR="00840221" w:rsidRPr="007F78BA" w:rsidRDefault="00CC4986" w:rsidP="00CD0D28">
      <w:pPr>
        <w:spacing w:line="276" w:lineRule="auto"/>
        <w:ind w:firstLine="720"/>
        <w:jc w:val="both"/>
        <w:rPr>
          <w:rFonts w:ascii="Times New Roman" w:eastAsia="Times New Roman" w:hAnsi="Times New Roman" w:cs="Times New Roman"/>
          <w:lang w:val="en-GB"/>
        </w:rPr>
      </w:pPr>
      <w:r w:rsidRPr="007F78BA">
        <w:rPr>
          <w:rFonts w:ascii="Times New Roman" w:eastAsia="Times New Roman" w:hAnsi="Times New Roman" w:cs="Times New Roman"/>
          <w:lang w:val="en-GB"/>
        </w:rPr>
        <w:t xml:space="preserve">For both </w:t>
      </w:r>
      <w:r w:rsidR="00EF0860" w:rsidRPr="007F78BA">
        <w:rPr>
          <w:rFonts w:ascii="Times New Roman" w:eastAsia="Times New Roman" w:hAnsi="Times New Roman" w:cs="Times New Roman"/>
          <w:lang w:val="en-GB"/>
        </w:rPr>
        <w:t>sample</w:t>
      </w:r>
      <w:r w:rsidR="00F958CF" w:rsidRPr="007F78BA">
        <w:rPr>
          <w:rFonts w:ascii="Times New Roman" w:eastAsia="Times New Roman" w:hAnsi="Times New Roman" w:cs="Times New Roman"/>
          <w:lang w:val="en-GB"/>
        </w:rPr>
        <w:t>s</w:t>
      </w:r>
      <w:r w:rsidR="00EF0860" w:rsidRPr="007F78BA">
        <w:rPr>
          <w:rFonts w:ascii="Times New Roman" w:eastAsia="Times New Roman" w:hAnsi="Times New Roman" w:cs="Times New Roman"/>
          <w:lang w:val="en-GB"/>
        </w:rPr>
        <w:t xml:space="preserve"> of MSM from </w:t>
      </w:r>
      <w:r w:rsidRPr="007F78BA">
        <w:rPr>
          <w:rFonts w:ascii="Times New Roman" w:eastAsia="Times New Roman" w:hAnsi="Times New Roman" w:cs="Times New Roman"/>
          <w:lang w:val="en-GB"/>
        </w:rPr>
        <w:t>Spain and Turkey, IH was negatively associated with HIV/</w:t>
      </w:r>
      <w:proofErr w:type="spellStart"/>
      <w:r w:rsidRPr="007F78BA">
        <w:rPr>
          <w:rFonts w:ascii="Times New Roman" w:eastAsia="Times New Roman" w:hAnsi="Times New Roman" w:cs="Times New Roman"/>
          <w:lang w:val="en-GB"/>
        </w:rPr>
        <w:t>PrEP</w:t>
      </w:r>
      <w:proofErr w:type="spellEnd"/>
      <w:r w:rsidRPr="007F78BA">
        <w:rPr>
          <w:rFonts w:ascii="Times New Roman" w:eastAsia="Times New Roman" w:hAnsi="Times New Roman" w:cs="Times New Roman"/>
          <w:lang w:val="en-GB"/>
        </w:rPr>
        <w:t xml:space="preserve"> knowledge</w:t>
      </w:r>
      <w:r w:rsidR="00F958CF" w:rsidRPr="007F78BA">
        <w:rPr>
          <w:rFonts w:ascii="Times New Roman" w:eastAsia="Times New Roman" w:hAnsi="Times New Roman" w:cs="Times New Roman"/>
          <w:lang w:val="en-GB"/>
        </w:rPr>
        <w:t>. E</w:t>
      </w:r>
      <w:r w:rsidRPr="007F78BA">
        <w:rPr>
          <w:rFonts w:ascii="Times New Roman" w:eastAsia="Times New Roman" w:hAnsi="Times New Roman" w:cs="Times New Roman"/>
          <w:lang w:val="en-GB"/>
        </w:rPr>
        <w:t xml:space="preserve">ach </w:t>
      </w:r>
      <w:r w:rsidR="00D87C12" w:rsidRPr="007F78BA">
        <w:rPr>
          <w:rFonts w:ascii="Times New Roman" w:eastAsia="Times New Roman" w:hAnsi="Times New Roman" w:cs="Times New Roman"/>
          <w:lang w:val="en-GB"/>
        </w:rPr>
        <w:t>standard deviation</w:t>
      </w:r>
      <w:r w:rsidR="00E53313" w:rsidRPr="007F78BA">
        <w:rPr>
          <w:rFonts w:ascii="Times New Roman" w:eastAsia="Times New Roman" w:hAnsi="Times New Roman" w:cs="Times New Roman"/>
          <w:lang w:val="en-GB"/>
        </w:rPr>
        <w:t xml:space="preserve"> (SD)</w:t>
      </w:r>
      <w:r w:rsidR="00D87C12" w:rsidRPr="007F78BA">
        <w:rPr>
          <w:rFonts w:ascii="Times New Roman" w:eastAsia="Times New Roman" w:hAnsi="Times New Roman" w:cs="Times New Roman"/>
          <w:lang w:val="en-GB"/>
        </w:rPr>
        <w:t xml:space="preserve"> </w:t>
      </w:r>
      <w:r w:rsidRPr="007F78BA">
        <w:rPr>
          <w:rFonts w:ascii="Times New Roman" w:eastAsia="Times New Roman" w:hAnsi="Times New Roman" w:cs="Times New Roman"/>
          <w:lang w:val="en-GB"/>
        </w:rPr>
        <w:t>increase in the IH latent variable was significantly associated with 0.22</w:t>
      </w:r>
      <w:r w:rsidR="00D87C12" w:rsidRPr="007F78BA">
        <w:rPr>
          <w:rFonts w:ascii="Times New Roman" w:eastAsia="Times New Roman" w:hAnsi="Times New Roman" w:cs="Times New Roman"/>
          <w:lang w:val="en-GB"/>
        </w:rPr>
        <w:t xml:space="preserve">6 and 0.263 </w:t>
      </w:r>
      <w:r w:rsidRPr="007F78BA">
        <w:rPr>
          <w:rFonts w:ascii="Times New Roman" w:eastAsia="Times New Roman" w:hAnsi="Times New Roman" w:cs="Times New Roman"/>
          <w:lang w:val="en-GB"/>
        </w:rPr>
        <w:t>decrease in the HIV/</w:t>
      </w:r>
      <w:proofErr w:type="spellStart"/>
      <w:r w:rsidRPr="007F78BA">
        <w:rPr>
          <w:rFonts w:ascii="Times New Roman" w:eastAsia="Times New Roman" w:hAnsi="Times New Roman" w:cs="Times New Roman"/>
          <w:lang w:val="en-GB"/>
        </w:rPr>
        <w:t>PrEP</w:t>
      </w:r>
      <w:proofErr w:type="spellEnd"/>
      <w:r w:rsidRPr="007F78BA">
        <w:rPr>
          <w:rFonts w:ascii="Times New Roman" w:eastAsia="Times New Roman" w:hAnsi="Times New Roman" w:cs="Times New Roman"/>
          <w:lang w:val="en-GB"/>
        </w:rPr>
        <w:t xml:space="preserve"> knowledge units</w:t>
      </w:r>
      <w:r w:rsidR="00D87C12" w:rsidRPr="007F78BA">
        <w:rPr>
          <w:rFonts w:ascii="Times New Roman" w:eastAsia="Times New Roman" w:hAnsi="Times New Roman" w:cs="Times New Roman"/>
          <w:lang w:val="en-GB"/>
        </w:rPr>
        <w:t>, respectively. The relationship between HIV/</w:t>
      </w:r>
      <w:proofErr w:type="spellStart"/>
      <w:r w:rsidR="00D87C12" w:rsidRPr="007F78BA">
        <w:rPr>
          <w:rFonts w:ascii="Times New Roman" w:eastAsia="Times New Roman" w:hAnsi="Times New Roman" w:cs="Times New Roman"/>
          <w:lang w:val="en-GB"/>
        </w:rPr>
        <w:t>PrEP</w:t>
      </w:r>
      <w:proofErr w:type="spellEnd"/>
      <w:r w:rsidR="00D87C12" w:rsidRPr="007F78BA">
        <w:rPr>
          <w:rFonts w:ascii="Times New Roman" w:eastAsia="Times New Roman" w:hAnsi="Times New Roman" w:cs="Times New Roman"/>
          <w:lang w:val="en-GB"/>
        </w:rPr>
        <w:t xml:space="preserve"> knowledge and </w:t>
      </w:r>
      <w:proofErr w:type="spellStart"/>
      <w:r w:rsidR="00D87C12" w:rsidRPr="007F78BA">
        <w:rPr>
          <w:rFonts w:ascii="Times New Roman" w:eastAsia="Times New Roman" w:hAnsi="Times New Roman" w:cs="Times New Roman"/>
          <w:lang w:val="en-GB"/>
        </w:rPr>
        <w:t>SRB</w:t>
      </w:r>
      <w:proofErr w:type="spellEnd"/>
      <w:r w:rsidR="00D87C12" w:rsidRPr="007F78BA">
        <w:rPr>
          <w:rFonts w:ascii="Times New Roman" w:eastAsia="Times New Roman" w:hAnsi="Times New Roman" w:cs="Times New Roman"/>
          <w:lang w:val="en-GB"/>
        </w:rPr>
        <w:t xml:space="preserve">, however, was different across </w:t>
      </w:r>
      <w:r w:rsidR="00F958CF" w:rsidRPr="007F78BA">
        <w:rPr>
          <w:rFonts w:ascii="Times New Roman" w:eastAsia="Times New Roman" w:hAnsi="Times New Roman" w:cs="Times New Roman"/>
          <w:lang w:val="en-GB"/>
        </w:rPr>
        <w:t>the two samples of men</w:t>
      </w:r>
      <w:r w:rsidR="00D87C12" w:rsidRPr="007F78BA">
        <w:rPr>
          <w:rFonts w:ascii="Times New Roman" w:eastAsia="Times New Roman" w:hAnsi="Times New Roman" w:cs="Times New Roman"/>
          <w:lang w:val="en-GB"/>
        </w:rPr>
        <w:t xml:space="preserve">. For </w:t>
      </w:r>
      <w:r w:rsidR="00F958CF" w:rsidRPr="007F78BA">
        <w:rPr>
          <w:rFonts w:ascii="Times New Roman" w:eastAsia="Times New Roman" w:hAnsi="Times New Roman" w:cs="Times New Roman"/>
          <w:lang w:val="en-GB"/>
        </w:rPr>
        <w:t xml:space="preserve">MSM in </w:t>
      </w:r>
      <w:r w:rsidR="00D87C12" w:rsidRPr="007F78BA">
        <w:rPr>
          <w:rFonts w:ascii="Times New Roman" w:eastAsia="Times New Roman" w:hAnsi="Times New Roman" w:cs="Times New Roman"/>
          <w:lang w:val="en-GB"/>
        </w:rPr>
        <w:t xml:space="preserve">Spain, each </w:t>
      </w:r>
      <w:r w:rsidR="00E53313" w:rsidRPr="007F78BA">
        <w:rPr>
          <w:rFonts w:ascii="Times New Roman" w:eastAsia="Times New Roman" w:hAnsi="Times New Roman" w:cs="Times New Roman"/>
          <w:lang w:val="en-GB"/>
        </w:rPr>
        <w:t>SD</w:t>
      </w:r>
      <w:r w:rsidR="00D87C12" w:rsidRPr="007F78BA">
        <w:rPr>
          <w:rFonts w:ascii="Times New Roman" w:eastAsia="Times New Roman" w:hAnsi="Times New Roman" w:cs="Times New Roman"/>
          <w:lang w:val="en-GB"/>
        </w:rPr>
        <w:t xml:space="preserve"> increase in the HIV/</w:t>
      </w:r>
      <w:proofErr w:type="spellStart"/>
      <w:r w:rsidR="00D87C12" w:rsidRPr="007F78BA">
        <w:rPr>
          <w:rFonts w:ascii="Times New Roman" w:eastAsia="Times New Roman" w:hAnsi="Times New Roman" w:cs="Times New Roman"/>
          <w:lang w:val="en-GB"/>
        </w:rPr>
        <w:t>PrEP</w:t>
      </w:r>
      <w:proofErr w:type="spellEnd"/>
      <w:r w:rsidR="00D87C12" w:rsidRPr="007F78BA">
        <w:rPr>
          <w:rFonts w:ascii="Times New Roman" w:eastAsia="Times New Roman" w:hAnsi="Times New Roman" w:cs="Times New Roman"/>
          <w:lang w:val="en-GB"/>
        </w:rPr>
        <w:t xml:space="preserve"> knowledge was significantly associated with 0.063 increase in the SRB units. While for </w:t>
      </w:r>
      <w:r w:rsidR="00F958CF" w:rsidRPr="007F78BA">
        <w:rPr>
          <w:rFonts w:ascii="Times New Roman" w:eastAsia="Times New Roman" w:hAnsi="Times New Roman" w:cs="Times New Roman"/>
          <w:lang w:val="en-GB"/>
        </w:rPr>
        <w:t xml:space="preserve">MSM in </w:t>
      </w:r>
      <w:r w:rsidR="00D87C12" w:rsidRPr="007F78BA">
        <w:rPr>
          <w:rFonts w:ascii="Times New Roman" w:eastAsia="Times New Roman" w:hAnsi="Times New Roman" w:cs="Times New Roman"/>
          <w:lang w:val="en-GB"/>
        </w:rPr>
        <w:t xml:space="preserve">Turkey, each </w:t>
      </w:r>
      <w:r w:rsidR="00E53313" w:rsidRPr="007F78BA">
        <w:rPr>
          <w:rFonts w:ascii="Times New Roman" w:eastAsia="Times New Roman" w:hAnsi="Times New Roman" w:cs="Times New Roman"/>
          <w:lang w:val="en-GB"/>
        </w:rPr>
        <w:t xml:space="preserve">SD </w:t>
      </w:r>
      <w:r w:rsidR="00D87C12" w:rsidRPr="007F78BA">
        <w:rPr>
          <w:rFonts w:ascii="Times New Roman" w:eastAsia="Times New Roman" w:hAnsi="Times New Roman" w:cs="Times New Roman"/>
          <w:lang w:val="en-GB"/>
        </w:rPr>
        <w:t>increase in the HIV/</w:t>
      </w:r>
      <w:proofErr w:type="spellStart"/>
      <w:r w:rsidR="00D87C12" w:rsidRPr="007F78BA">
        <w:rPr>
          <w:rFonts w:ascii="Times New Roman" w:eastAsia="Times New Roman" w:hAnsi="Times New Roman" w:cs="Times New Roman"/>
          <w:lang w:val="en-GB"/>
        </w:rPr>
        <w:t>PrEP</w:t>
      </w:r>
      <w:proofErr w:type="spellEnd"/>
      <w:r w:rsidR="00D87C12" w:rsidRPr="007F78BA">
        <w:rPr>
          <w:rFonts w:ascii="Times New Roman" w:eastAsia="Times New Roman" w:hAnsi="Times New Roman" w:cs="Times New Roman"/>
          <w:lang w:val="en-GB"/>
        </w:rPr>
        <w:t xml:space="preserve"> knowledge was significantly associated with 0.084 decrease in the SRB units. </w:t>
      </w:r>
      <w:r w:rsidR="005A48D3" w:rsidRPr="007F78BA">
        <w:rPr>
          <w:rFonts w:ascii="Times New Roman" w:eastAsia="Times New Roman" w:hAnsi="Times New Roman" w:cs="Times New Roman"/>
          <w:lang w:val="en-GB"/>
        </w:rPr>
        <w:t xml:space="preserve">The effect of </w:t>
      </w:r>
      <w:proofErr w:type="spellStart"/>
      <w:r w:rsidR="005A48D3" w:rsidRPr="007F78BA">
        <w:rPr>
          <w:rFonts w:ascii="Times New Roman" w:eastAsia="Times New Roman" w:hAnsi="Times New Roman" w:cs="Times New Roman"/>
          <w:lang w:val="en-GB"/>
        </w:rPr>
        <w:t>IH</w:t>
      </w:r>
      <w:proofErr w:type="spellEnd"/>
      <w:r w:rsidR="005A48D3" w:rsidRPr="007F78BA">
        <w:rPr>
          <w:rFonts w:ascii="Times New Roman" w:eastAsia="Times New Roman" w:hAnsi="Times New Roman" w:cs="Times New Roman"/>
          <w:lang w:val="en-GB"/>
        </w:rPr>
        <w:t xml:space="preserve"> on HIV/</w:t>
      </w:r>
      <w:proofErr w:type="spellStart"/>
      <w:r w:rsidR="005A48D3" w:rsidRPr="007F78BA">
        <w:rPr>
          <w:rFonts w:ascii="Times New Roman" w:eastAsia="Times New Roman" w:hAnsi="Times New Roman" w:cs="Times New Roman"/>
          <w:lang w:val="en-GB"/>
        </w:rPr>
        <w:t>PrEP</w:t>
      </w:r>
      <w:proofErr w:type="spellEnd"/>
      <w:r w:rsidR="005A48D3" w:rsidRPr="007F78BA">
        <w:rPr>
          <w:rFonts w:ascii="Times New Roman" w:eastAsia="Times New Roman" w:hAnsi="Times New Roman" w:cs="Times New Roman"/>
          <w:lang w:val="en-GB"/>
        </w:rPr>
        <w:t xml:space="preserve"> knowledge was slightly larger </w:t>
      </w:r>
      <w:r w:rsidR="00F958CF" w:rsidRPr="007F78BA">
        <w:rPr>
          <w:rFonts w:ascii="Times New Roman" w:eastAsia="Times New Roman" w:hAnsi="Times New Roman" w:cs="Times New Roman"/>
          <w:lang w:val="en-GB"/>
        </w:rPr>
        <w:t xml:space="preserve">in the </w:t>
      </w:r>
      <w:r w:rsidR="005A48D3" w:rsidRPr="007F78BA">
        <w:rPr>
          <w:rFonts w:ascii="Times New Roman" w:eastAsia="Times New Roman" w:hAnsi="Times New Roman" w:cs="Times New Roman"/>
          <w:lang w:val="en-GB"/>
        </w:rPr>
        <w:t>Turkey</w:t>
      </w:r>
      <w:r w:rsidR="00F958CF" w:rsidRPr="007F78BA">
        <w:rPr>
          <w:rFonts w:ascii="Times New Roman" w:eastAsia="Times New Roman" w:hAnsi="Times New Roman" w:cs="Times New Roman"/>
          <w:lang w:val="en-GB"/>
        </w:rPr>
        <w:t xml:space="preserve"> sample</w:t>
      </w:r>
      <w:r w:rsidR="005A48D3" w:rsidRPr="007F78BA">
        <w:rPr>
          <w:rFonts w:ascii="Times New Roman" w:eastAsia="Times New Roman" w:hAnsi="Times New Roman" w:cs="Times New Roman"/>
          <w:lang w:val="en-GB"/>
        </w:rPr>
        <w:t xml:space="preserve">. </w:t>
      </w:r>
      <w:r w:rsidR="00D87C12" w:rsidRPr="007F78BA">
        <w:rPr>
          <w:rFonts w:ascii="Times New Roman" w:eastAsia="Times New Roman" w:hAnsi="Times New Roman" w:cs="Times New Roman"/>
          <w:lang w:val="en-GB"/>
        </w:rPr>
        <w:t xml:space="preserve">Similarly, as shown in Table </w:t>
      </w:r>
      <w:r w:rsidR="00C156CB" w:rsidRPr="007F78BA">
        <w:rPr>
          <w:rFonts w:ascii="Times New Roman" w:eastAsia="Times New Roman" w:hAnsi="Times New Roman" w:cs="Times New Roman"/>
          <w:lang w:val="en-GB"/>
        </w:rPr>
        <w:t>2</w:t>
      </w:r>
      <w:r w:rsidR="00D87C12" w:rsidRPr="007F78BA">
        <w:rPr>
          <w:rFonts w:ascii="Times New Roman" w:eastAsia="Times New Roman" w:hAnsi="Times New Roman" w:cs="Times New Roman"/>
          <w:lang w:val="en-GB"/>
        </w:rPr>
        <w:t xml:space="preserve">, the indirect relationship between IH and </w:t>
      </w:r>
      <w:proofErr w:type="spellStart"/>
      <w:r w:rsidR="00D87C12" w:rsidRPr="007F78BA">
        <w:rPr>
          <w:rFonts w:ascii="Times New Roman" w:eastAsia="Times New Roman" w:hAnsi="Times New Roman" w:cs="Times New Roman"/>
          <w:lang w:val="en-GB"/>
        </w:rPr>
        <w:t>SRB</w:t>
      </w:r>
      <w:proofErr w:type="spellEnd"/>
      <w:r w:rsidR="00D87C12" w:rsidRPr="007F78BA">
        <w:rPr>
          <w:rFonts w:ascii="Times New Roman" w:eastAsia="Times New Roman" w:hAnsi="Times New Roman" w:cs="Times New Roman"/>
          <w:lang w:val="en-GB"/>
        </w:rPr>
        <w:t xml:space="preserve"> through HIV/</w:t>
      </w:r>
      <w:proofErr w:type="spellStart"/>
      <w:r w:rsidR="00D87C12" w:rsidRPr="007F78BA">
        <w:rPr>
          <w:rFonts w:ascii="Times New Roman" w:eastAsia="Times New Roman" w:hAnsi="Times New Roman" w:cs="Times New Roman"/>
          <w:lang w:val="en-GB"/>
        </w:rPr>
        <w:t>PrEP</w:t>
      </w:r>
      <w:proofErr w:type="spellEnd"/>
      <w:r w:rsidR="00D87C12" w:rsidRPr="007F78BA">
        <w:rPr>
          <w:rFonts w:ascii="Times New Roman" w:eastAsia="Times New Roman" w:hAnsi="Times New Roman" w:cs="Times New Roman"/>
          <w:lang w:val="en-GB"/>
        </w:rPr>
        <w:t xml:space="preserve"> knowledge varied across groups. For </w:t>
      </w:r>
      <w:r w:rsidR="00F958CF" w:rsidRPr="007F78BA">
        <w:rPr>
          <w:rFonts w:ascii="Times New Roman" w:eastAsia="Times New Roman" w:hAnsi="Times New Roman" w:cs="Times New Roman"/>
          <w:lang w:val="en-GB"/>
        </w:rPr>
        <w:t xml:space="preserve">MSM in </w:t>
      </w:r>
      <w:r w:rsidR="00D87C12" w:rsidRPr="007F78BA">
        <w:rPr>
          <w:rFonts w:ascii="Times New Roman" w:eastAsia="Times New Roman" w:hAnsi="Times New Roman" w:cs="Times New Roman"/>
          <w:lang w:val="en-GB"/>
        </w:rPr>
        <w:t xml:space="preserve">Spain, we found that </w:t>
      </w:r>
      <w:r w:rsidR="00F958CF" w:rsidRPr="007F78BA">
        <w:rPr>
          <w:rFonts w:ascii="Times New Roman" w:eastAsia="Times New Roman" w:hAnsi="Times New Roman" w:cs="Times New Roman"/>
          <w:lang w:val="en-GB"/>
        </w:rPr>
        <w:t xml:space="preserve">an </w:t>
      </w:r>
      <w:r w:rsidR="00D87C12" w:rsidRPr="007F78BA">
        <w:rPr>
          <w:rFonts w:ascii="Times New Roman" w:eastAsia="Times New Roman" w:hAnsi="Times New Roman" w:cs="Times New Roman"/>
          <w:lang w:val="en-GB"/>
        </w:rPr>
        <w:t xml:space="preserve">increase of 0.226 </w:t>
      </w:r>
      <w:r w:rsidR="00E53313" w:rsidRPr="007F78BA">
        <w:rPr>
          <w:rFonts w:ascii="Times New Roman" w:eastAsia="Times New Roman" w:hAnsi="Times New Roman" w:cs="Times New Roman"/>
          <w:lang w:val="en-GB"/>
        </w:rPr>
        <w:t xml:space="preserve">SD </w:t>
      </w:r>
      <w:r w:rsidR="00D87C12" w:rsidRPr="007F78BA">
        <w:rPr>
          <w:rFonts w:ascii="Times New Roman" w:eastAsia="Times New Roman" w:hAnsi="Times New Roman" w:cs="Times New Roman"/>
          <w:lang w:val="en-GB"/>
        </w:rPr>
        <w:t>in the IH latent variable was associated with 0.01</w:t>
      </w:r>
      <w:r w:rsidR="00856ED1" w:rsidRPr="007F78BA">
        <w:rPr>
          <w:rFonts w:ascii="Times New Roman" w:eastAsia="Times New Roman" w:hAnsi="Times New Roman" w:cs="Times New Roman"/>
          <w:lang w:val="en-GB"/>
        </w:rPr>
        <w:t xml:space="preserve"> </w:t>
      </w:r>
      <w:r w:rsidR="00D87C12" w:rsidRPr="007F78BA">
        <w:rPr>
          <w:rFonts w:ascii="Times New Roman" w:eastAsia="Times New Roman" w:hAnsi="Times New Roman" w:cs="Times New Roman"/>
          <w:lang w:val="en-GB"/>
        </w:rPr>
        <w:t>decrease SRB units, when mediated by the HIV/</w:t>
      </w:r>
      <w:proofErr w:type="spellStart"/>
      <w:r w:rsidR="00D87C12" w:rsidRPr="007F78BA">
        <w:rPr>
          <w:rFonts w:ascii="Times New Roman" w:eastAsia="Times New Roman" w:hAnsi="Times New Roman" w:cs="Times New Roman"/>
          <w:lang w:val="en-GB"/>
        </w:rPr>
        <w:t>PrEP</w:t>
      </w:r>
      <w:proofErr w:type="spellEnd"/>
      <w:r w:rsidR="00D87C12" w:rsidRPr="007F78BA">
        <w:rPr>
          <w:rFonts w:ascii="Times New Roman" w:eastAsia="Times New Roman" w:hAnsi="Times New Roman" w:cs="Times New Roman"/>
          <w:lang w:val="en-GB"/>
        </w:rPr>
        <w:t xml:space="preserve"> knowledge. In contrast, </w:t>
      </w:r>
      <w:r w:rsidR="00856ED1" w:rsidRPr="007F78BA">
        <w:rPr>
          <w:rFonts w:ascii="Times New Roman" w:eastAsia="Times New Roman" w:hAnsi="Times New Roman" w:cs="Times New Roman"/>
          <w:lang w:val="en-GB"/>
        </w:rPr>
        <w:t xml:space="preserve">the indirect relationship between IH and </w:t>
      </w:r>
      <w:proofErr w:type="spellStart"/>
      <w:r w:rsidR="00856ED1" w:rsidRPr="007F78BA">
        <w:rPr>
          <w:rFonts w:ascii="Times New Roman" w:eastAsia="Times New Roman" w:hAnsi="Times New Roman" w:cs="Times New Roman"/>
          <w:lang w:val="en-GB"/>
        </w:rPr>
        <w:t>SRB</w:t>
      </w:r>
      <w:proofErr w:type="spellEnd"/>
      <w:r w:rsidR="00856ED1" w:rsidRPr="007F78BA">
        <w:rPr>
          <w:rFonts w:ascii="Times New Roman" w:eastAsia="Times New Roman" w:hAnsi="Times New Roman" w:cs="Times New Roman"/>
          <w:lang w:val="en-GB"/>
        </w:rPr>
        <w:t xml:space="preserve"> through HIV/</w:t>
      </w:r>
      <w:proofErr w:type="spellStart"/>
      <w:r w:rsidR="00856ED1" w:rsidRPr="007F78BA">
        <w:rPr>
          <w:rFonts w:ascii="Times New Roman" w:eastAsia="Times New Roman" w:hAnsi="Times New Roman" w:cs="Times New Roman"/>
          <w:lang w:val="en-GB"/>
        </w:rPr>
        <w:t>PrEP</w:t>
      </w:r>
      <w:proofErr w:type="spellEnd"/>
      <w:r w:rsidR="00856ED1" w:rsidRPr="007F78BA">
        <w:rPr>
          <w:rFonts w:ascii="Times New Roman" w:eastAsia="Times New Roman" w:hAnsi="Times New Roman" w:cs="Times New Roman"/>
          <w:lang w:val="en-GB"/>
        </w:rPr>
        <w:t xml:space="preserve"> knowledge was statistically </w:t>
      </w:r>
      <w:r w:rsidR="00F958CF" w:rsidRPr="007F78BA">
        <w:rPr>
          <w:rFonts w:ascii="Times New Roman" w:eastAsia="Times New Roman" w:hAnsi="Times New Roman" w:cs="Times New Roman"/>
          <w:lang w:val="en-GB"/>
        </w:rPr>
        <w:t xml:space="preserve">non-significant in the </w:t>
      </w:r>
      <w:r w:rsidR="00856ED1" w:rsidRPr="007F78BA">
        <w:rPr>
          <w:rFonts w:ascii="Times New Roman" w:eastAsia="Times New Roman" w:hAnsi="Times New Roman" w:cs="Times New Roman"/>
          <w:lang w:val="en-GB"/>
        </w:rPr>
        <w:t>Turkey</w:t>
      </w:r>
      <w:r w:rsidR="00F958CF" w:rsidRPr="007F78BA">
        <w:rPr>
          <w:rFonts w:ascii="Times New Roman" w:eastAsia="Times New Roman" w:hAnsi="Times New Roman" w:cs="Times New Roman"/>
          <w:lang w:val="en-GB"/>
        </w:rPr>
        <w:t xml:space="preserve"> sample</w:t>
      </w:r>
      <w:r w:rsidR="00856ED1" w:rsidRPr="007F78BA">
        <w:rPr>
          <w:rFonts w:ascii="Times New Roman" w:eastAsia="Times New Roman" w:hAnsi="Times New Roman" w:cs="Times New Roman"/>
          <w:lang w:val="en-GB"/>
        </w:rPr>
        <w:t xml:space="preserve">. </w:t>
      </w:r>
    </w:p>
    <w:p w14:paraId="6CC92938" w14:textId="77777777" w:rsidR="00840221" w:rsidRPr="007F78BA" w:rsidRDefault="00840221" w:rsidP="00B76DC5">
      <w:pPr>
        <w:rPr>
          <w:lang w:val="en-GB"/>
        </w:rPr>
      </w:pPr>
    </w:p>
    <w:p w14:paraId="0D813EA8" w14:textId="7FB0C316" w:rsidR="00785B24" w:rsidRPr="007F78BA" w:rsidRDefault="00F13F61" w:rsidP="00AD7F5D">
      <w:pPr>
        <w:spacing w:line="480" w:lineRule="auto"/>
        <w:jc w:val="center"/>
        <w:rPr>
          <w:rFonts w:ascii="Times New Roman" w:hAnsi="Times New Roman" w:cs="Times New Roman"/>
          <w:lang w:val="en-GB"/>
        </w:rPr>
      </w:pPr>
      <w:r w:rsidRPr="007F78BA">
        <w:rPr>
          <w:rFonts w:ascii="Times New Roman" w:hAnsi="Times New Roman" w:cs="Times New Roman"/>
          <w:b/>
          <w:lang w:val="en-GB"/>
        </w:rPr>
        <w:t>Figure 1</w:t>
      </w:r>
      <w:r w:rsidRPr="007F78BA">
        <w:rPr>
          <w:rFonts w:ascii="Times New Roman" w:hAnsi="Times New Roman" w:cs="Times New Roman"/>
          <w:lang w:val="en-GB"/>
        </w:rPr>
        <w:t>. Estimated Multigroup SEM Results for Spain and Turke</w:t>
      </w:r>
      <w:r w:rsidR="00AD7F5D">
        <w:rPr>
          <w:rFonts w:ascii="Times New Roman" w:hAnsi="Times New Roman" w:cs="Times New Roman"/>
          <w:lang w:val="en-GB"/>
        </w:rPr>
        <w:t>y</w:t>
      </w:r>
    </w:p>
    <w:p w14:paraId="5ED275DA" w14:textId="3B392059" w:rsidR="00785B24" w:rsidRDefault="00AD7F5D" w:rsidP="00AD7F5D">
      <w:pPr>
        <w:tabs>
          <w:tab w:val="left" w:pos="3324"/>
        </w:tabs>
        <w:jc w:val="center"/>
        <w:rPr>
          <w:rFonts w:ascii="Times New Roman" w:hAnsi="Times New Roman" w:cs="Times New Roman"/>
          <w:lang w:val="en-GB"/>
        </w:rPr>
      </w:pPr>
      <w:r>
        <w:rPr>
          <w:rFonts w:ascii="Times New Roman" w:hAnsi="Times New Roman" w:cs="Times New Roman"/>
          <w:b/>
          <w:noProof/>
          <w:lang w:val="nb-NO" w:eastAsia="nb-NO"/>
        </w:rPr>
        <w:lastRenderedPageBreak/>
        <w:drawing>
          <wp:inline distT="0" distB="0" distL="0" distR="0" wp14:anchorId="7818D17C" wp14:editId="6B2986D1">
            <wp:extent cx="5499100" cy="294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10-27 at 5.43.04 PM.png"/>
                    <pic:cNvPicPr/>
                  </pic:nvPicPr>
                  <pic:blipFill>
                    <a:blip r:embed="rId9">
                      <a:extLst>
                        <a:ext uri="{28A0092B-C50C-407E-A947-70E740481C1C}">
                          <a14:useLocalDpi xmlns:a14="http://schemas.microsoft.com/office/drawing/2010/main" val="0"/>
                        </a:ext>
                      </a:extLst>
                    </a:blip>
                    <a:stretch>
                      <a:fillRect/>
                    </a:stretch>
                  </pic:blipFill>
                  <pic:spPr>
                    <a:xfrm>
                      <a:off x="0" y="0"/>
                      <a:ext cx="5499100" cy="2946400"/>
                    </a:xfrm>
                    <a:prstGeom prst="rect">
                      <a:avLst/>
                    </a:prstGeom>
                  </pic:spPr>
                </pic:pic>
              </a:graphicData>
            </a:graphic>
          </wp:inline>
        </w:drawing>
      </w:r>
    </w:p>
    <w:p w14:paraId="199ACBD4" w14:textId="77777777" w:rsidR="00AD7F5D" w:rsidRPr="007F78BA" w:rsidRDefault="00AD7F5D" w:rsidP="00AD7F5D">
      <w:pPr>
        <w:tabs>
          <w:tab w:val="left" w:pos="3324"/>
        </w:tabs>
        <w:jc w:val="center"/>
        <w:rPr>
          <w:rFonts w:ascii="Times New Roman" w:hAnsi="Times New Roman" w:cs="Times New Roman"/>
          <w:lang w:val="en-GB"/>
        </w:rPr>
      </w:pPr>
    </w:p>
    <w:p w14:paraId="267E38C4" w14:textId="136A6B44" w:rsidR="00F13F61" w:rsidRPr="007F78BA" w:rsidRDefault="00F13F61" w:rsidP="00A1425B">
      <w:pPr>
        <w:jc w:val="both"/>
        <w:rPr>
          <w:rFonts w:ascii="Times New Roman" w:hAnsi="Times New Roman" w:cs="Times New Roman"/>
          <w:sz w:val="20"/>
          <w:szCs w:val="20"/>
          <w:lang w:val="en-GB"/>
        </w:rPr>
      </w:pPr>
      <w:r w:rsidRPr="007F78BA">
        <w:rPr>
          <w:rFonts w:ascii="Times New Roman" w:hAnsi="Times New Roman" w:cs="Times New Roman"/>
          <w:b/>
          <w:sz w:val="20"/>
          <w:szCs w:val="20"/>
          <w:lang w:val="en-GB"/>
        </w:rPr>
        <w:t>Significance levels: ***</w:t>
      </w:r>
      <w:r w:rsidRPr="007F78BA">
        <w:rPr>
          <w:rFonts w:ascii="Times New Roman" w:hAnsi="Times New Roman" w:cs="Times New Roman"/>
          <w:sz w:val="20"/>
          <w:szCs w:val="20"/>
          <w:lang w:val="en-GB"/>
        </w:rPr>
        <w:t xml:space="preserve"> p &lt; 0.01, </w:t>
      </w:r>
      <w:r w:rsidRPr="007F78BA">
        <w:rPr>
          <w:rFonts w:ascii="Times New Roman" w:hAnsi="Times New Roman" w:cs="Times New Roman"/>
          <w:b/>
          <w:sz w:val="20"/>
          <w:szCs w:val="20"/>
          <w:lang w:val="en-GB"/>
        </w:rPr>
        <w:t>**</w:t>
      </w:r>
      <w:r w:rsidRPr="007F78BA">
        <w:rPr>
          <w:rFonts w:ascii="Times New Roman" w:hAnsi="Times New Roman" w:cs="Times New Roman"/>
          <w:sz w:val="20"/>
          <w:szCs w:val="20"/>
          <w:lang w:val="en-GB"/>
        </w:rPr>
        <w:t xml:space="preserve"> p &lt; 0.05, </w:t>
      </w:r>
      <w:r w:rsidRPr="007F78BA">
        <w:rPr>
          <w:rFonts w:ascii="Times New Roman" w:hAnsi="Times New Roman" w:cs="Times New Roman"/>
          <w:b/>
          <w:sz w:val="20"/>
          <w:szCs w:val="20"/>
          <w:lang w:val="en-GB"/>
        </w:rPr>
        <w:t>*</w:t>
      </w:r>
      <w:r w:rsidRPr="007F78BA">
        <w:rPr>
          <w:rFonts w:ascii="Times New Roman" w:hAnsi="Times New Roman" w:cs="Times New Roman"/>
          <w:sz w:val="20"/>
          <w:szCs w:val="20"/>
          <w:lang w:val="en-GB"/>
        </w:rPr>
        <w:t xml:space="preserve"> p &lt; 0.1. </w:t>
      </w:r>
      <w:r w:rsidRPr="007F78BA">
        <w:rPr>
          <w:rFonts w:ascii="Times New Roman" w:hAnsi="Times New Roman" w:cs="Times New Roman"/>
          <w:b/>
          <w:sz w:val="20"/>
          <w:szCs w:val="20"/>
          <w:lang w:val="en-GB"/>
        </w:rPr>
        <w:t>Standardized coefficients</w:t>
      </w:r>
      <w:r w:rsidRPr="007F78BA">
        <w:rPr>
          <w:rFonts w:ascii="Times New Roman" w:hAnsi="Times New Roman" w:cs="Times New Roman"/>
          <w:sz w:val="20"/>
          <w:szCs w:val="20"/>
          <w:lang w:val="en-GB"/>
        </w:rPr>
        <w:t xml:space="preserve"> shown for comparability across groups. Coefficients on the left show the results for Spain and coefficients on the right (in italic) show the results for Turkey</w:t>
      </w:r>
      <w:r w:rsidR="008463A0" w:rsidRPr="007F78BA">
        <w:rPr>
          <w:rFonts w:ascii="Times New Roman" w:hAnsi="Times New Roman" w:cs="Times New Roman"/>
          <w:sz w:val="20"/>
          <w:szCs w:val="20"/>
          <w:lang w:val="en-GB"/>
        </w:rPr>
        <w:t>,</w:t>
      </w:r>
      <w:r w:rsidRPr="007F78BA">
        <w:rPr>
          <w:rFonts w:ascii="Times New Roman" w:hAnsi="Times New Roman" w:cs="Times New Roman"/>
          <w:sz w:val="20"/>
          <w:szCs w:val="20"/>
          <w:lang w:val="en-GB"/>
        </w:rPr>
        <w:t xml:space="preserve"> and numbers in parenthesis are </w:t>
      </w:r>
      <w:r w:rsidRPr="007F78BA">
        <w:rPr>
          <w:rFonts w:ascii="Times New Roman" w:hAnsi="Times New Roman" w:cs="Times New Roman"/>
          <w:b/>
          <w:bCs/>
          <w:sz w:val="20"/>
          <w:szCs w:val="20"/>
          <w:lang w:val="en-GB"/>
        </w:rPr>
        <w:t>robust standard errors</w:t>
      </w:r>
      <w:r w:rsidRPr="007F78BA">
        <w:rPr>
          <w:rFonts w:ascii="Times New Roman" w:hAnsi="Times New Roman" w:cs="Times New Roman"/>
          <w:sz w:val="20"/>
          <w:szCs w:val="20"/>
          <w:lang w:val="en-GB"/>
        </w:rPr>
        <w:t xml:space="preserve">. </w:t>
      </w:r>
      <w:r w:rsidRPr="007F78BA">
        <w:rPr>
          <w:rFonts w:ascii="Times New Roman" w:hAnsi="Times New Roman" w:cs="Times New Roman"/>
          <w:b/>
          <w:bCs/>
          <w:sz w:val="20"/>
          <w:szCs w:val="20"/>
          <w:lang w:val="en-GB"/>
        </w:rPr>
        <w:t>Dashed paths</w:t>
      </w:r>
      <w:r w:rsidRPr="007F78BA">
        <w:rPr>
          <w:rFonts w:ascii="Times New Roman" w:hAnsi="Times New Roman" w:cs="Times New Roman"/>
          <w:sz w:val="20"/>
          <w:szCs w:val="20"/>
          <w:lang w:val="en-GB"/>
        </w:rPr>
        <w:t xml:space="preserve"> represent the direct relationship to be mediated between Internalised Homonegativity and </w:t>
      </w:r>
      <w:r w:rsidR="008463A0" w:rsidRPr="007F78BA">
        <w:rPr>
          <w:rFonts w:ascii="Times New Roman" w:hAnsi="Times New Roman" w:cs="Times New Roman"/>
          <w:sz w:val="20"/>
          <w:szCs w:val="20"/>
          <w:lang w:val="en-GB"/>
        </w:rPr>
        <w:t>S</w:t>
      </w:r>
      <w:r w:rsidRPr="007F78BA">
        <w:rPr>
          <w:rFonts w:ascii="Times New Roman" w:hAnsi="Times New Roman" w:cs="Times New Roman"/>
          <w:sz w:val="20"/>
          <w:szCs w:val="20"/>
          <w:lang w:val="en-GB"/>
        </w:rPr>
        <w:t xml:space="preserve">exual </w:t>
      </w:r>
      <w:r w:rsidR="008463A0" w:rsidRPr="007F78BA">
        <w:rPr>
          <w:rFonts w:ascii="Times New Roman" w:hAnsi="Times New Roman" w:cs="Times New Roman"/>
          <w:sz w:val="20"/>
          <w:szCs w:val="20"/>
          <w:lang w:val="en-GB"/>
        </w:rPr>
        <w:t>R</w:t>
      </w:r>
      <w:r w:rsidRPr="007F78BA">
        <w:rPr>
          <w:rFonts w:ascii="Times New Roman" w:hAnsi="Times New Roman" w:cs="Times New Roman"/>
          <w:sz w:val="20"/>
          <w:szCs w:val="20"/>
          <w:lang w:val="en-GB"/>
        </w:rPr>
        <w:t xml:space="preserve">isk </w:t>
      </w:r>
      <w:r w:rsidR="008463A0" w:rsidRPr="007F78BA">
        <w:rPr>
          <w:rFonts w:ascii="Times New Roman" w:hAnsi="Times New Roman" w:cs="Times New Roman"/>
          <w:sz w:val="20"/>
          <w:szCs w:val="20"/>
          <w:lang w:val="en-GB"/>
        </w:rPr>
        <w:t>B</w:t>
      </w:r>
      <w:r w:rsidRPr="007F78BA">
        <w:rPr>
          <w:rFonts w:ascii="Times New Roman" w:hAnsi="Times New Roman" w:cs="Times New Roman"/>
          <w:sz w:val="20"/>
          <w:szCs w:val="20"/>
          <w:lang w:val="en-GB"/>
        </w:rPr>
        <w:t xml:space="preserve">ehaviour. Coefficients of observed variables and their standard errors are not shown. </w:t>
      </w:r>
    </w:p>
    <w:p w14:paraId="7C3B84B4" w14:textId="2453CC3F" w:rsidR="00785B24" w:rsidRPr="007F78BA" w:rsidRDefault="00785B24" w:rsidP="00DC724C">
      <w:pPr>
        <w:tabs>
          <w:tab w:val="left" w:pos="3324"/>
        </w:tabs>
        <w:spacing w:line="276" w:lineRule="auto"/>
        <w:rPr>
          <w:rFonts w:ascii="Times New Roman" w:hAnsi="Times New Roman" w:cs="Times New Roman"/>
          <w:lang w:val="en-GB"/>
        </w:rPr>
      </w:pPr>
    </w:p>
    <w:p w14:paraId="4D467C61" w14:textId="77777777" w:rsidR="009A21EE" w:rsidRDefault="00F958CF" w:rsidP="009A21EE">
      <w:pPr>
        <w:spacing w:line="276" w:lineRule="auto"/>
        <w:ind w:firstLine="720"/>
        <w:jc w:val="both"/>
        <w:rPr>
          <w:rFonts w:ascii="Times New Roman" w:eastAsia="Times New Roman" w:hAnsi="Times New Roman" w:cs="Times New Roman"/>
          <w:lang w:val="en-GB"/>
        </w:rPr>
      </w:pPr>
      <w:r w:rsidRPr="007F78BA">
        <w:rPr>
          <w:rFonts w:ascii="Times New Roman" w:eastAsia="Times New Roman" w:hAnsi="Times New Roman" w:cs="Times New Roman"/>
          <w:lang w:val="en-GB"/>
        </w:rPr>
        <w:t xml:space="preserve">In </w:t>
      </w:r>
      <w:r w:rsidR="005A48D3" w:rsidRPr="007F78BA">
        <w:rPr>
          <w:rFonts w:ascii="Times New Roman" w:eastAsia="Times New Roman" w:hAnsi="Times New Roman" w:cs="Times New Roman"/>
          <w:lang w:val="en-GB"/>
        </w:rPr>
        <w:t xml:space="preserve">both </w:t>
      </w:r>
      <w:r w:rsidRPr="007F78BA">
        <w:rPr>
          <w:rFonts w:ascii="Times New Roman" w:eastAsia="Times New Roman" w:hAnsi="Times New Roman" w:cs="Times New Roman"/>
          <w:lang w:val="en-GB"/>
        </w:rPr>
        <w:t>samples</w:t>
      </w:r>
      <w:r w:rsidR="005A48D3" w:rsidRPr="007F78BA">
        <w:rPr>
          <w:rFonts w:ascii="Times New Roman" w:eastAsia="Times New Roman" w:hAnsi="Times New Roman" w:cs="Times New Roman"/>
          <w:lang w:val="en-GB"/>
        </w:rPr>
        <w:t xml:space="preserve">, with respect to the relationship among IH, </w:t>
      </w:r>
      <w:r w:rsidR="00E93EC1">
        <w:rPr>
          <w:rFonts w:ascii="Times New Roman" w:eastAsia="Times New Roman" w:hAnsi="Times New Roman" w:cs="Times New Roman"/>
          <w:lang w:val="en-GB"/>
        </w:rPr>
        <w:t>SUIS</w:t>
      </w:r>
      <w:r w:rsidR="005A48D3" w:rsidRPr="007F78BA">
        <w:rPr>
          <w:rFonts w:ascii="Times New Roman" w:eastAsia="Times New Roman" w:hAnsi="Times New Roman" w:cs="Times New Roman"/>
          <w:lang w:val="en-GB"/>
        </w:rPr>
        <w:t xml:space="preserve"> and SRB, we </w:t>
      </w:r>
      <w:r w:rsidRPr="007F78BA">
        <w:rPr>
          <w:rFonts w:ascii="Times New Roman" w:eastAsia="Times New Roman" w:hAnsi="Times New Roman" w:cs="Times New Roman"/>
          <w:lang w:val="en-GB"/>
        </w:rPr>
        <w:t xml:space="preserve">found </w:t>
      </w:r>
      <w:r w:rsidR="005A48D3" w:rsidRPr="007F78BA">
        <w:rPr>
          <w:rFonts w:ascii="Times New Roman" w:eastAsia="Times New Roman" w:hAnsi="Times New Roman" w:cs="Times New Roman"/>
          <w:lang w:val="en-GB"/>
        </w:rPr>
        <w:t xml:space="preserve">that the relationship between IH and </w:t>
      </w:r>
      <w:r w:rsidR="00E93EC1">
        <w:rPr>
          <w:rFonts w:ascii="Times New Roman" w:eastAsia="Times New Roman" w:hAnsi="Times New Roman" w:cs="Times New Roman"/>
          <w:lang w:val="en-GB"/>
        </w:rPr>
        <w:t>SUIS</w:t>
      </w:r>
      <w:r w:rsidR="005A48D3" w:rsidRPr="007F78BA">
        <w:rPr>
          <w:rFonts w:ascii="Times New Roman" w:eastAsia="Times New Roman" w:hAnsi="Times New Roman" w:cs="Times New Roman"/>
          <w:lang w:val="en-GB"/>
        </w:rPr>
        <w:t xml:space="preserve"> </w:t>
      </w:r>
      <w:r w:rsidRPr="007F78BA">
        <w:rPr>
          <w:rFonts w:ascii="Times New Roman" w:eastAsia="Times New Roman" w:hAnsi="Times New Roman" w:cs="Times New Roman"/>
          <w:lang w:val="en-GB"/>
        </w:rPr>
        <w:t>wa</w:t>
      </w:r>
      <w:r w:rsidR="005A48D3" w:rsidRPr="007F78BA">
        <w:rPr>
          <w:rFonts w:ascii="Times New Roman" w:eastAsia="Times New Roman" w:hAnsi="Times New Roman" w:cs="Times New Roman"/>
          <w:lang w:val="en-GB"/>
        </w:rPr>
        <w:t xml:space="preserve">s </w:t>
      </w:r>
      <w:r w:rsidRPr="007F78BA">
        <w:rPr>
          <w:rFonts w:ascii="Times New Roman" w:eastAsia="Times New Roman" w:hAnsi="Times New Roman" w:cs="Times New Roman"/>
          <w:lang w:val="en-GB"/>
        </w:rPr>
        <w:t>non-significant</w:t>
      </w:r>
      <w:r w:rsidR="005A48D3" w:rsidRPr="007F78BA">
        <w:rPr>
          <w:rFonts w:ascii="Times New Roman" w:eastAsia="Times New Roman" w:hAnsi="Times New Roman" w:cs="Times New Roman"/>
          <w:lang w:val="en-GB"/>
        </w:rPr>
        <w:t xml:space="preserve">, while the association between </w:t>
      </w:r>
      <w:r w:rsidRPr="007F78BA">
        <w:rPr>
          <w:rFonts w:ascii="Times New Roman" w:eastAsia="Times New Roman" w:hAnsi="Times New Roman" w:cs="Times New Roman"/>
          <w:lang w:val="en-GB"/>
        </w:rPr>
        <w:t xml:space="preserve">the </w:t>
      </w:r>
      <w:r w:rsidR="00E93EC1">
        <w:rPr>
          <w:rFonts w:ascii="Times New Roman" w:eastAsia="Times New Roman" w:hAnsi="Times New Roman" w:cs="Times New Roman"/>
          <w:lang w:val="en-GB"/>
        </w:rPr>
        <w:t>SUIS</w:t>
      </w:r>
      <w:r w:rsidR="005A48D3" w:rsidRPr="007F78BA">
        <w:rPr>
          <w:rFonts w:ascii="Times New Roman" w:eastAsia="Times New Roman" w:hAnsi="Times New Roman" w:cs="Times New Roman"/>
          <w:lang w:val="en-GB"/>
        </w:rPr>
        <w:t xml:space="preserve"> latent variable and SRB was positive and significant. Expectedly, Figure</w:t>
      </w:r>
      <w:r w:rsidR="00185FF2" w:rsidRPr="007F78BA">
        <w:rPr>
          <w:rFonts w:ascii="Times New Roman" w:eastAsia="Times New Roman" w:hAnsi="Times New Roman" w:cs="Times New Roman"/>
          <w:lang w:val="en-GB"/>
        </w:rPr>
        <w:t> </w:t>
      </w:r>
      <w:r w:rsidR="005A48D3" w:rsidRPr="007F78BA">
        <w:rPr>
          <w:rFonts w:ascii="Times New Roman" w:eastAsia="Times New Roman" w:hAnsi="Times New Roman" w:cs="Times New Roman"/>
          <w:lang w:val="en-GB"/>
        </w:rPr>
        <w:t xml:space="preserve">1 shows that a standard deviation increase in </w:t>
      </w:r>
      <w:r w:rsidR="00E93EC1">
        <w:rPr>
          <w:rFonts w:ascii="Times New Roman" w:eastAsia="Times New Roman" w:hAnsi="Times New Roman" w:cs="Times New Roman"/>
          <w:lang w:val="en-GB"/>
        </w:rPr>
        <w:t>SUIS</w:t>
      </w:r>
      <w:r w:rsidR="005A48D3" w:rsidRPr="007F78BA">
        <w:rPr>
          <w:rFonts w:ascii="Times New Roman" w:eastAsia="Times New Roman" w:hAnsi="Times New Roman" w:cs="Times New Roman"/>
          <w:lang w:val="en-GB"/>
        </w:rPr>
        <w:t xml:space="preserve"> was significantly associated with a 0.275 and </w:t>
      </w:r>
      <w:r w:rsidRPr="007F78BA">
        <w:rPr>
          <w:rFonts w:ascii="Times New Roman" w:eastAsia="Times New Roman" w:hAnsi="Times New Roman" w:cs="Times New Roman"/>
          <w:lang w:val="en-GB"/>
        </w:rPr>
        <w:t>0.</w:t>
      </w:r>
      <w:r w:rsidR="005A48D3" w:rsidRPr="007F78BA">
        <w:rPr>
          <w:rFonts w:ascii="Times New Roman" w:eastAsia="Times New Roman" w:hAnsi="Times New Roman" w:cs="Times New Roman"/>
          <w:lang w:val="en-GB"/>
        </w:rPr>
        <w:t xml:space="preserve">282 increase in the SRB units, </w:t>
      </w:r>
      <w:r w:rsidRPr="007F78BA">
        <w:rPr>
          <w:rFonts w:ascii="Times New Roman" w:eastAsia="Times New Roman" w:hAnsi="Times New Roman" w:cs="Times New Roman"/>
          <w:lang w:val="en-GB"/>
        </w:rPr>
        <w:t xml:space="preserve">in the </w:t>
      </w:r>
      <w:r w:rsidR="005A48D3" w:rsidRPr="007F78BA">
        <w:rPr>
          <w:rFonts w:ascii="Times New Roman" w:eastAsia="Times New Roman" w:hAnsi="Times New Roman" w:cs="Times New Roman"/>
          <w:lang w:val="en-GB"/>
        </w:rPr>
        <w:t xml:space="preserve">Spain and Turkey </w:t>
      </w:r>
      <w:r w:rsidRPr="007F78BA">
        <w:rPr>
          <w:rFonts w:ascii="Times New Roman" w:eastAsia="Times New Roman" w:hAnsi="Times New Roman" w:cs="Times New Roman"/>
          <w:lang w:val="en-GB"/>
        </w:rPr>
        <w:t xml:space="preserve">samples, </w:t>
      </w:r>
      <w:r w:rsidR="005A48D3" w:rsidRPr="007F78BA">
        <w:rPr>
          <w:rFonts w:ascii="Times New Roman" w:eastAsia="Times New Roman" w:hAnsi="Times New Roman" w:cs="Times New Roman"/>
          <w:lang w:val="en-GB"/>
        </w:rPr>
        <w:t xml:space="preserve">respectively. The indirect path between IH and SRB mediated by </w:t>
      </w:r>
      <w:r w:rsidR="00E93EC1">
        <w:rPr>
          <w:rFonts w:ascii="Times New Roman" w:eastAsia="Times New Roman" w:hAnsi="Times New Roman" w:cs="Times New Roman"/>
          <w:lang w:val="en-GB"/>
        </w:rPr>
        <w:t>SUIS</w:t>
      </w:r>
      <w:r w:rsidR="005A48D3" w:rsidRPr="007F78BA">
        <w:rPr>
          <w:rFonts w:ascii="Times New Roman" w:eastAsia="Times New Roman" w:hAnsi="Times New Roman" w:cs="Times New Roman"/>
          <w:lang w:val="en-GB"/>
        </w:rPr>
        <w:t xml:space="preserve"> was statistically </w:t>
      </w:r>
      <w:r w:rsidR="00A613FA" w:rsidRPr="007F78BA">
        <w:rPr>
          <w:rFonts w:ascii="Times New Roman" w:eastAsia="Times New Roman" w:hAnsi="Times New Roman" w:cs="Times New Roman"/>
          <w:lang w:val="en-GB"/>
        </w:rPr>
        <w:t xml:space="preserve">non-significant </w:t>
      </w:r>
      <w:r w:rsidR="005A48D3" w:rsidRPr="007F78BA">
        <w:rPr>
          <w:rFonts w:ascii="Times New Roman" w:eastAsia="Times New Roman" w:hAnsi="Times New Roman" w:cs="Times New Roman"/>
          <w:lang w:val="en-GB"/>
        </w:rPr>
        <w:t>for both groups (Table 3)</w:t>
      </w:r>
      <w:r w:rsidR="00A66735" w:rsidRPr="007F78BA">
        <w:rPr>
          <w:rFonts w:ascii="Times New Roman" w:eastAsia="Times New Roman" w:hAnsi="Times New Roman" w:cs="Times New Roman"/>
          <w:lang w:val="en-GB"/>
        </w:rPr>
        <w:t xml:space="preserve">. </w:t>
      </w:r>
    </w:p>
    <w:p w14:paraId="37B33148" w14:textId="225A2A8E" w:rsidR="00AB3DC2" w:rsidRPr="007F78BA" w:rsidRDefault="00A66735" w:rsidP="009A21EE">
      <w:pPr>
        <w:spacing w:line="276" w:lineRule="auto"/>
        <w:ind w:firstLine="720"/>
        <w:jc w:val="both"/>
        <w:rPr>
          <w:rFonts w:ascii="Times New Roman" w:eastAsia="Times New Roman" w:hAnsi="Times New Roman" w:cs="Times New Roman"/>
          <w:lang w:val="en-GB"/>
        </w:rPr>
      </w:pPr>
      <w:r w:rsidRPr="007F78BA">
        <w:rPr>
          <w:rFonts w:ascii="Times New Roman" w:eastAsia="Times New Roman" w:hAnsi="Times New Roman" w:cs="Times New Roman"/>
          <w:lang w:val="en-GB"/>
        </w:rPr>
        <w:t>Figure 1</w:t>
      </w:r>
      <w:r w:rsidR="00A613FA" w:rsidRPr="007F78BA">
        <w:rPr>
          <w:rFonts w:ascii="Times New Roman" w:eastAsia="Times New Roman" w:hAnsi="Times New Roman" w:cs="Times New Roman"/>
          <w:lang w:val="en-GB"/>
        </w:rPr>
        <w:t xml:space="preserve"> shows t</w:t>
      </w:r>
      <w:r w:rsidRPr="007F78BA">
        <w:rPr>
          <w:rFonts w:ascii="Times New Roman" w:eastAsia="Times New Roman" w:hAnsi="Times New Roman" w:cs="Times New Roman"/>
          <w:lang w:val="en-GB"/>
        </w:rPr>
        <w:t>hat as IH decreased</w:t>
      </w:r>
      <w:r w:rsidR="007969BE">
        <w:rPr>
          <w:rFonts w:ascii="Times New Roman" w:eastAsia="Times New Roman" w:hAnsi="Times New Roman" w:cs="Times New Roman"/>
          <w:lang w:val="en-GB"/>
        </w:rPr>
        <w:t>,</w:t>
      </w:r>
      <w:r w:rsidRPr="007F78BA">
        <w:rPr>
          <w:rFonts w:ascii="Times New Roman" w:eastAsia="Times New Roman" w:hAnsi="Times New Roman" w:cs="Times New Roman"/>
          <w:lang w:val="en-GB"/>
        </w:rPr>
        <w:t xml:space="preserve"> the recency of substance </w:t>
      </w:r>
      <w:proofErr w:type="gramStart"/>
      <w:r w:rsidRPr="007F78BA">
        <w:rPr>
          <w:rFonts w:ascii="Times New Roman" w:eastAsia="Times New Roman" w:hAnsi="Times New Roman" w:cs="Times New Roman"/>
          <w:lang w:val="en-GB"/>
        </w:rPr>
        <w:t>use</w:t>
      </w:r>
      <w:proofErr w:type="gramEnd"/>
      <w:r w:rsidRPr="007F78BA">
        <w:rPr>
          <w:rFonts w:ascii="Times New Roman" w:eastAsia="Times New Roman" w:hAnsi="Times New Roman" w:cs="Times New Roman"/>
          <w:lang w:val="en-GB"/>
        </w:rPr>
        <w:t xml:space="preserve"> and the coefficient </w:t>
      </w:r>
      <w:r w:rsidR="007969BE" w:rsidRPr="007F78BA">
        <w:rPr>
          <w:rFonts w:ascii="Times New Roman" w:eastAsia="Times New Roman" w:hAnsi="Times New Roman" w:cs="Times New Roman"/>
          <w:lang w:val="en-GB"/>
        </w:rPr>
        <w:t>w</w:t>
      </w:r>
      <w:r w:rsidR="007969BE">
        <w:rPr>
          <w:rFonts w:ascii="Times New Roman" w:eastAsia="Times New Roman" w:hAnsi="Times New Roman" w:cs="Times New Roman"/>
          <w:lang w:val="en-GB"/>
        </w:rPr>
        <w:t>ere</w:t>
      </w:r>
      <w:r w:rsidR="007969BE" w:rsidRPr="007F78BA">
        <w:rPr>
          <w:rFonts w:ascii="Times New Roman" w:eastAsia="Times New Roman" w:hAnsi="Times New Roman" w:cs="Times New Roman"/>
          <w:lang w:val="en-GB"/>
        </w:rPr>
        <w:t xml:space="preserve"> </w:t>
      </w:r>
      <w:r w:rsidR="00A613FA" w:rsidRPr="007F78BA">
        <w:rPr>
          <w:rFonts w:ascii="Times New Roman" w:eastAsia="Times New Roman" w:hAnsi="Times New Roman" w:cs="Times New Roman"/>
          <w:lang w:val="en-GB"/>
        </w:rPr>
        <w:t xml:space="preserve">considerably </w:t>
      </w:r>
      <w:r w:rsidRPr="007F78BA">
        <w:rPr>
          <w:rFonts w:ascii="Times New Roman" w:eastAsia="Times New Roman" w:hAnsi="Times New Roman" w:cs="Times New Roman"/>
          <w:lang w:val="en-GB"/>
        </w:rPr>
        <w:t xml:space="preserve">larger </w:t>
      </w:r>
      <w:r w:rsidR="007969BE" w:rsidRPr="007F78BA">
        <w:rPr>
          <w:rFonts w:ascii="Times New Roman" w:eastAsia="Times New Roman" w:hAnsi="Times New Roman" w:cs="Times New Roman"/>
          <w:lang w:val="en-GB"/>
        </w:rPr>
        <w:t xml:space="preserve">in the Turkey sample </w:t>
      </w:r>
      <w:r w:rsidRPr="007F78BA">
        <w:rPr>
          <w:rFonts w:ascii="Times New Roman" w:eastAsia="Times New Roman" w:hAnsi="Times New Roman" w:cs="Times New Roman"/>
          <w:lang w:val="en-GB"/>
        </w:rPr>
        <w:t xml:space="preserve">than </w:t>
      </w:r>
      <w:r w:rsidR="00A613FA" w:rsidRPr="007F78BA">
        <w:rPr>
          <w:rFonts w:ascii="Times New Roman" w:eastAsia="Times New Roman" w:hAnsi="Times New Roman" w:cs="Times New Roman"/>
          <w:lang w:val="en-GB"/>
        </w:rPr>
        <w:t xml:space="preserve">in the </w:t>
      </w:r>
      <w:r w:rsidR="007969BE">
        <w:rPr>
          <w:rFonts w:ascii="Times New Roman" w:eastAsia="Times New Roman" w:hAnsi="Times New Roman" w:cs="Times New Roman"/>
          <w:lang w:val="en-GB"/>
        </w:rPr>
        <w:t>Spain</w:t>
      </w:r>
      <w:r w:rsidR="007969BE" w:rsidRPr="007F78BA">
        <w:rPr>
          <w:rFonts w:ascii="Times New Roman" w:eastAsia="Times New Roman" w:hAnsi="Times New Roman" w:cs="Times New Roman"/>
          <w:lang w:val="en-GB"/>
        </w:rPr>
        <w:t xml:space="preserve"> </w:t>
      </w:r>
      <w:r w:rsidR="00A613FA" w:rsidRPr="007F78BA">
        <w:rPr>
          <w:rFonts w:ascii="Times New Roman" w:eastAsia="Times New Roman" w:hAnsi="Times New Roman" w:cs="Times New Roman"/>
          <w:lang w:val="en-GB"/>
        </w:rPr>
        <w:t>sample</w:t>
      </w:r>
      <w:r w:rsidRPr="007F78BA">
        <w:rPr>
          <w:rFonts w:ascii="Times New Roman" w:eastAsia="Times New Roman" w:hAnsi="Times New Roman" w:cs="Times New Roman"/>
          <w:lang w:val="en-GB"/>
        </w:rPr>
        <w:t xml:space="preserve">. Each </w:t>
      </w:r>
      <w:r w:rsidR="007969BE">
        <w:rPr>
          <w:rFonts w:ascii="Times New Roman" w:eastAsia="Times New Roman" w:hAnsi="Times New Roman" w:cs="Times New Roman"/>
          <w:lang w:val="en-GB"/>
        </w:rPr>
        <w:t>SD</w:t>
      </w:r>
      <w:r w:rsidRPr="007F78BA">
        <w:rPr>
          <w:rFonts w:ascii="Times New Roman" w:eastAsia="Times New Roman" w:hAnsi="Times New Roman" w:cs="Times New Roman"/>
          <w:lang w:val="en-GB"/>
        </w:rPr>
        <w:t xml:space="preserve"> increase in the IH latent variable was significantly associated with 0.085 and 0.211 decrease in the substance use units, for </w:t>
      </w:r>
      <w:r w:rsidR="00A613FA" w:rsidRPr="007F78BA">
        <w:rPr>
          <w:rFonts w:ascii="Times New Roman" w:eastAsia="Times New Roman" w:hAnsi="Times New Roman" w:cs="Times New Roman"/>
          <w:lang w:val="en-GB"/>
        </w:rPr>
        <w:t xml:space="preserve">the </w:t>
      </w:r>
      <w:r w:rsidRPr="007F78BA">
        <w:rPr>
          <w:rFonts w:ascii="Times New Roman" w:eastAsia="Times New Roman" w:hAnsi="Times New Roman" w:cs="Times New Roman"/>
          <w:lang w:val="en-GB"/>
        </w:rPr>
        <w:t>Spain and Turkey</w:t>
      </w:r>
      <w:r w:rsidR="00A613FA" w:rsidRPr="007F78BA">
        <w:rPr>
          <w:rFonts w:ascii="Times New Roman" w:eastAsia="Times New Roman" w:hAnsi="Times New Roman" w:cs="Times New Roman"/>
          <w:lang w:val="en-GB"/>
        </w:rPr>
        <w:t xml:space="preserve"> samples</w:t>
      </w:r>
      <w:r w:rsidRPr="007F78BA">
        <w:rPr>
          <w:rFonts w:ascii="Times New Roman" w:eastAsia="Times New Roman" w:hAnsi="Times New Roman" w:cs="Times New Roman"/>
          <w:lang w:val="en-GB"/>
        </w:rPr>
        <w:t xml:space="preserve">, respectively. Further, recency of substance use predicted </w:t>
      </w:r>
      <w:r w:rsidR="00E93EC1">
        <w:rPr>
          <w:rFonts w:ascii="Times New Roman" w:eastAsia="Times New Roman" w:hAnsi="Times New Roman" w:cs="Times New Roman"/>
          <w:lang w:val="en-GB"/>
        </w:rPr>
        <w:t>SUIS</w:t>
      </w:r>
      <w:r w:rsidRPr="007F78BA">
        <w:rPr>
          <w:rFonts w:ascii="Times New Roman" w:eastAsia="Times New Roman" w:hAnsi="Times New Roman" w:cs="Times New Roman"/>
          <w:lang w:val="en-GB"/>
        </w:rPr>
        <w:t xml:space="preserve"> significantly and positively </w:t>
      </w:r>
      <w:r w:rsidR="007969BE">
        <w:rPr>
          <w:rFonts w:ascii="Times New Roman" w:eastAsia="Times New Roman" w:hAnsi="Times New Roman" w:cs="Times New Roman"/>
          <w:lang w:val="en-GB"/>
        </w:rPr>
        <w:t>in</w:t>
      </w:r>
      <w:r w:rsidR="007969BE" w:rsidRPr="007F78BA">
        <w:rPr>
          <w:rFonts w:ascii="Times New Roman" w:eastAsia="Times New Roman" w:hAnsi="Times New Roman" w:cs="Times New Roman"/>
          <w:lang w:val="en-GB"/>
        </w:rPr>
        <w:t xml:space="preserve"> </w:t>
      </w:r>
      <w:r w:rsidRPr="007F78BA">
        <w:rPr>
          <w:rFonts w:ascii="Times New Roman" w:eastAsia="Times New Roman" w:hAnsi="Times New Roman" w:cs="Times New Roman"/>
          <w:lang w:val="en-GB"/>
        </w:rPr>
        <w:t xml:space="preserve">both </w:t>
      </w:r>
      <w:r w:rsidR="007969BE">
        <w:rPr>
          <w:rFonts w:ascii="Times New Roman" w:eastAsia="Times New Roman" w:hAnsi="Times New Roman" w:cs="Times New Roman"/>
          <w:lang w:val="en-GB"/>
        </w:rPr>
        <w:t>samples</w:t>
      </w:r>
      <w:r w:rsidRPr="007F78BA">
        <w:rPr>
          <w:rFonts w:ascii="Times New Roman" w:eastAsia="Times New Roman" w:hAnsi="Times New Roman" w:cs="Times New Roman"/>
          <w:lang w:val="en-GB"/>
        </w:rPr>
        <w:t>. The</w:t>
      </w:r>
      <w:r w:rsidR="007969BE">
        <w:rPr>
          <w:rFonts w:ascii="Times New Roman" w:eastAsia="Times New Roman" w:hAnsi="Times New Roman" w:cs="Times New Roman"/>
          <w:lang w:val="en-GB"/>
        </w:rPr>
        <w:t xml:space="preserve">re </w:t>
      </w:r>
      <w:r w:rsidR="007969BE" w:rsidRPr="007F78BA">
        <w:rPr>
          <w:rFonts w:ascii="Times New Roman" w:eastAsia="Times New Roman" w:hAnsi="Times New Roman" w:cs="Times New Roman"/>
          <w:lang w:val="en-GB"/>
        </w:rPr>
        <w:t>was also</w:t>
      </w:r>
      <w:r w:rsidR="007969BE">
        <w:rPr>
          <w:rFonts w:ascii="Times New Roman" w:eastAsia="Times New Roman" w:hAnsi="Times New Roman" w:cs="Times New Roman"/>
          <w:lang w:val="en-GB"/>
        </w:rPr>
        <w:t xml:space="preserve"> a</w:t>
      </w:r>
      <w:r w:rsidR="007969BE" w:rsidRPr="007F78BA">
        <w:rPr>
          <w:rFonts w:ascii="Times New Roman" w:eastAsia="Times New Roman" w:hAnsi="Times New Roman" w:cs="Times New Roman"/>
          <w:lang w:val="en-GB"/>
        </w:rPr>
        <w:t xml:space="preserve"> statistically significant</w:t>
      </w:r>
      <w:r w:rsidRPr="007F78BA">
        <w:rPr>
          <w:rFonts w:ascii="Times New Roman" w:eastAsia="Times New Roman" w:hAnsi="Times New Roman" w:cs="Times New Roman"/>
          <w:lang w:val="en-GB"/>
        </w:rPr>
        <w:t xml:space="preserve"> indirect path from IH to </w:t>
      </w:r>
      <w:r w:rsidR="00E93EC1">
        <w:rPr>
          <w:rFonts w:ascii="Times New Roman" w:eastAsia="Times New Roman" w:hAnsi="Times New Roman" w:cs="Times New Roman"/>
          <w:lang w:val="en-GB"/>
        </w:rPr>
        <w:t>SUIS</w:t>
      </w:r>
      <w:r w:rsidRPr="007F78BA">
        <w:rPr>
          <w:rFonts w:ascii="Times New Roman" w:eastAsia="Times New Roman" w:hAnsi="Times New Roman" w:cs="Times New Roman"/>
          <w:lang w:val="en-GB"/>
        </w:rPr>
        <w:t xml:space="preserve"> when mediated by substance use recency. As IH increased</w:t>
      </w:r>
      <w:r w:rsidR="002702C2" w:rsidRPr="007F78BA">
        <w:rPr>
          <w:rFonts w:ascii="Times New Roman" w:eastAsia="Times New Roman" w:hAnsi="Times New Roman" w:cs="Times New Roman"/>
          <w:lang w:val="en-GB"/>
        </w:rPr>
        <w:t xml:space="preserve"> (</w:t>
      </w:r>
      <w:r w:rsidRPr="007F78BA">
        <w:rPr>
          <w:rFonts w:ascii="Times New Roman" w:eastAsia="Times New Roman" w:hAnsi="Times New Roman" w:cs="Times New Roman"/>
          <w:lang w:val="en-GB"/>
        </w:rPr>
        <w:t xml:space="preserve">0.646 and </w:t>
      </w:r>
      <w:r w:rsidR="002702C2" w:rsidRPr="007F78BA">
        <w:rPr>
          <w:rFonts w:ascii="Times New Roman" w:eastAsia="Times New Roman" w:hAnsi="Times New Roman" w:cs="Times New Roman"/>
          <w:lang w:val="en-GB"/>
        </w:rPr>
        <w:t>0.761</w:t>
      </w:r>
      <w:r w:rsidR="00E53313" w:rsidRPr="007F78BA">
        <w:rPr>
          <w:rFonts w:ascii="Times New Roman" w:eastAsia="Times New Roman" w:hAnsi="Times New Roman" w:cs="Times New Roman"/>
          <w:lang w:val="en-GB"/>
        </w:rPr>
        <w:t xml:space="preserve"> SD</w:t>
      </w:r>
      <w:r w:rsidR="002702C2" w:rsidRPr="007F78BA">
        <w:rPr>
          <w:rFonts w:ascii="Times New Roman" w:eastAsia="Times New Roman" w:hAnsi="Times New Roman" w:cs="Times New Roman"/>
          <w:lang w:val="en-GB"/>
        </w:rPr>
        <w:t xml:space="preserve">), </w:t>
      </w:r>
      <w:r w:rsidR="00E93EC1">
        <w:rPr>
          <w:rFonts w:ascii="Times New Roman" w:eastAsia="Times New Roman" w:hAnsi="Times New Roman" w:cs="Times New Roman"/>
          <w:lang w:val="en-GB"/>
        </w:rPr>
        <w:t>SUIS</w:t>
      </w:r>
      <w:r w:rsidRPr="007F78BA">
        <w:rPr>
          <w:rFonts w:ascii="Times New Roman" w:eastAsia="Times New Roman" w:hAnsi="Times New Roman" w:cs="Times New Roman"/>
          <w:lang w:val="en-GB"/>
        </w:rPr>
        <w:t xml:space="preserve"> decreased</w:t>
      </w:r>
      <w:r w:rsidR="002702C2" w:rsidRPr="007F78BA">
        <w:rPr>
          <w:rFonts w:ascii="Times New Roman" w:eastAsia="Times New Roman" w:hAnsi="Times New Roman" w:cs="Times New Roman"/>
          <w:lang w:val="en-GB"/>
        </w:rPr>
        <w:t xml:space="preserve"> (0.055 and 0.160 units for </w:t>
      </w:r>
      <w:r w:rsidR="00A613FA" w:rsidRPr="007F78BA">
        <w:rPr>
          <w:rFonts w:ascii="Times New Roman" w:eastAsia="Times New Roman" w:hAnsi="Times New Roman" w:cs="Times New Roman"/>
          <w:lang w:val="en-GB"/>
        </w:rPr>
        <w:t xml:space="preserve">the </w:t>
      </w:r>
      <w:r w:rsidR="002702C2" w:rsidRPr="007F78BA">
        <w:rPr>
          <w:rFonts w:ascii="Times New Roman" w:eastAsia="Times New Roman" w:hAnsi="Times New Roman" w:cs="Times New Roman"/>
          <w:lang w:val="en-GB"/>
        </w:rPr>
        <w:t>Spain and Turkey</w:t>
      </w:r>
      <w:r w:rsidR="00A613FA" w:rsidRPr="007F78BA">
        <w:rPr>
          <w:rFonts w:ascii="Times New Roman" w:eastAsia="Times New Roman" w:hAnsi="Times New Roman" w:cs="Times New Roman"/>
          <w:lang w:val="en-GB"/>
        </w:rPr>
        <w:t xml:space="preserve"> samples</w:t>
      </w:r>
      <w:r w:rsidR="002702C2" w:rsidRPr="007F78BA">
        <w:rPr>
          <w:rFonts w:ascii="Times New Roman" w:eastAsia="Times New Roman" w:hAnsi="Times New Roman" w:cs="Times New Roman"/>
          <w:lang w:val="en-GB"/>
        </w:rPr>
        <w:t>, respectively)</w:t>
      </w:r>
      <w:r w:rsidRPr="007F78BA">
        <w:rPr>
          <w:rFonts w:ascii="Times New Roman" w:eastAsia="Times New Roman" w:hAnsi="Times New Roman" w:cs="Times New Roman"/>
          <w:lang w:val="en-GB"/>
        </w:rPr>
        <w:t xml:space="preserve">; because higher IH predicted </w:t>
      </w:r>
      <w:r w:rsidR="009970B9" w:rsidRPr="007F78BA">
        <w:rPr>
          <w:rFonts w:ascii="Times New Roman" w:eastAsia="Times New Roman" w:hAnsi="Times New Roman" w:cs="Times New Roman"/>
          <w:lang w:val="en-GB"/>
        </w:rPr>
        <w:t>less recent</w:t>
      </w:r>
      <w:r w:rsidRPr="007F78BA">
        <w:rPr>
          <w:rFonts w:ascii="Times New Roman" w:eastAsia="Times New Roman" w:hAnsi="Times New Roman" w:cs="Times New Roman"/>
          <w:lang w:val="en-GB"/>
        </w:rPr>
        <w:t xml:space="preserve"> use of substances and more recent use of substances predicted higher </w:t>
      </w:r>
      <w:r w:rsidR="00E53313" w:rsidRPr="007F78BA">
        <w:rPr>
          <w:rFonts w:ascii="Times New Roman" w:eastAsia="Times New Roman" w:hAnsi="Times New Roman" w:cs="Times New Roman"/>
          <w:lang w:val="en-GB"/>
        </w:rPr>
        <w:t xml:space="preserve">frequency </w:t>
      </w:r>
      <w:r w:rsidRPr="007F78BA">
        <w:rPr>
          <w:rFonts w:ascii="Times New Roman" w:eastAsia="Times New Roman" w:hAnsi="Times New Roman" w:cs="Times New Roman"/>
          <w:lang w:val="en-GB"/>
        </w:rPr>
        <w:t xml:space="preserve">of </w:t>
      </w:r>
      <w:r w:rsidR="00E93EC1">
        <w:rPr>
          <w:rFonts w:ascii="Times New Roman" w:eastAsia="Times New Roman" w:hAnsi="Times New Roman" w:cs="Times New Roman"/>
          <w:lang w:val="en-GB"/>
        </w:rPr>
        <w:t>SUIS</w:t>
      </w:r>
      <w:r w:rsidRPr="007F78BA">
        <w:rPr>
          <w:rFonts w:ascii="Times New Roman" w:eastAsia="Times New Roman" w:hAnsi="Times New Roman" w:cs="Times New Roman"/>
          <w:lang w:val="en-GB"/>
        </w:rPr>
        <w:t xml:space="preserve"> for both groups. </w:t>
      </w:r>
    </w:p>
    <w:p w14:paraId="4A2CCCBF" w14:textId="77777777" w:rsidR="001B3C7C" w:rsidRPr="007F78BA" w:rsidRDefault="001B3C7C" w:rsidP="00D85053">
      <w:pPr>
        <w:tabs>
          <w:tab w:val="left" w:pos="3324"/>
        </w:tabs>
        <w:spacing w:line="276" w:lineRule="auto"/>
        <w:rPr>
          <w:rFonts w:ascii="Times New Roman" w:hAnsi="Times New Roman" w:cs="Times New Roman"/>
          <w:lang w:val="en-GB"/>
        </w:rPr>
      </w:pPr>
    </w:p>
    <w:p w14:paraId="44A46131" w14:textId="4B91E887" w:rsidR="00DC724C" w:rsidRPr="007F78BA" w:rsidRDefault="00B76DC5" w:rsidP="001008F8">
      <w:pPr>
        <w:rPr>
          <w:rFonts w:ascii="Times New Roman" w:hAnsi="Times New Roman" w:cs="Times New Roman"/>
          <w:lang w:val="en-GB"/>
        </w:rPr>
      </w:pPr>
      <w:r w:rsidRPr="007F78BA">
        <w:rPr>
          <w:rFonts w:ascii="Times New Roman" w:hAnsi="Times New Roman" w:cs="Times New Roman"/>
          <w:b/>
          <w:lang w:val="en-GB"/>
        </w:rPr>
        <w:t xml:space="preserve">Table </w:t>
      </w:r>
      <w:r w:rsidR="00C156CB" w:rsidRPr="007F78BA">
        <w:rPr>
          <w:rFonts w:ascii="Times New Roman" w:hAnsi="Times New Roman" w:cs="Times New Roman"/>
          <w:b/>
          <w:lang w:val="en-GB"/>
        </w:rPr>
        <w:t>2</w:t>
      </w:r>
      <w:r w:rsidRPr="007F78BA">
        <w:rPr>
          <w:rFonts w:ascii="Times New Roman" w:hAnsi="Times New Roman" w:cs="Times New Roman"/>
          <w:b/>
          <w:lang w:val="en-GB"/>
        </w:rPr>
        <w:t>.</w:t>
      </w:r>
      <w:r w:rsidRPr="007F78BA">
        <w:rPr>
          <w:rFonts w:ascii="Times New Roman" w:hAnsi="Times New Roman" w:cs="Times New Roman"/>
          <w:lang w:val="en-GB"/>
        </w:rPr>
        <w:t xml:space="preserve"> </w:t>
      </w:r>
      <w:r w:rsidR="00DC724C" w:rsidRPr="007F78BA">
        <w:rPr>
          <w:rFonts w:ascii="Times New Roman" w:hAnsi="Times New Roman" w:cs="Times New Roman"/>
          <w:lang w:val="en-GB"/>
        </w:rPr>
        <w:t>Defined Parameters of the</w:t>
      </w:r>
      <w:r w:rsidRPr="007F78BA">
        <w:rPr>
          <w:rFonts w:ascii="Times New Roman" w:hAnsi="Times New Roman" w:cs="Times New Roman"/>
          <w:lang w:val="en-GB"/>
        </w:rPr>
        <w:t xml:space="preserve"> Multigroup SEM</w:t>
      </w:r>
    </w:p>
    <w:tbl>
      <w:tblPr>
        <w:tblStyle w:val="Tabellrutenett"/>
        <w:tblW w:w="8946" w:type="dxa"/>
        <w:tblLook w:val="04A0" w:firstRow="1" w:lastRow="0" w:firstColumn="1" w:lastColumn="0" w:noHBand="0" w:noVBand="1"/>
      </w:tblPr>
      <w:tblGrid>
        <w:gridCol w:w="3151"/>
        <w:gridCol w:w="2328"/>
        <w:gridCol w:w="1230"/>
        <w:gridCol w:w="2237"/>
      </w:tblGrid>
      <w:tr w:rsidR="00DC724C" w:rsidRPr="007F78BA" w14:paraId="02E7407C" w14:textId="77777777" w:rsidTr="00E06FD0">
        <w:trPr>
          <w:trHeight w:val="416"/>
        </w:trPr>
        <w:tc>
          <w:tcPr>
            <w:tcW w:w="3151" w:type="dxa"/>
            <w:tcBorders>
              <w:left w:val="nil"/>
              <w:right w:val="nil"/>
            </w:tcBorders>
          </w:tcPr>
          <w:p w14:paraId="0DC630AB" w14:textId="77777777" w:rsidR="00DC724C" w:rsidRPr="007F78BA" w:rsidRDefault="00DC724C" w:rsidP="007A6661">
            <w:pPr>
              <w:rPr>
                <w:rFonts w:ascii="Baskerville Old Face" w:hAnsi="Baskerville Old Face" w:cs="Times New Roman"/>
                <w:sz w:val="20"/>
                <w:szCs w:val="20"/>
                <w:lang w:val="en-GB"/>
              </w:rPr>
            </w:pPr>
          </w:p>
        </w:tc>
        <w:tc>
          <w:tcPr>
            <w:tcW w:w="3558" w:type="dxa"/>
            <w:gridSpan w:val="2"/>
            <w:tcBorders>
              <w:top w:val="single" w:sz="4" w:space="0" w:color="auto"/>
              <w:left w:val="nil"/>
              <w:right w:val="nil"/>
            </w:tcBorders>
          </w:tcPr>
          <w:p w14:paraId="16245B51" w14:textId="77777777" w:rsidR="00DC724C" w:rsidRPr="007F78BA" w:rsidRDefault="00DC724C" w:rsidP="007A6661">
            <w:pPr>
              <w:jc w:val="center"/>
              <w:rPr>
                <w:rFonts w:ascii="Baskerville Old Face" w:hAnsi="Baskerville Old Face" w:cs="Times New Roman"/>
                <w:b/>
                <w:sz w:val="20"/>
                <w:szCs w:val="20"/>
                <w:lang w:val="en-GB"/>
              </w:rPr>
            </w:pPr>
            <w:r w:rsidRPr="007F78BA">
              <w:rPr>
                <w:rFonts w:ascii="Baskerville Old Face" w:hAnsi="Baskerville Old Face" w:cs="Times New Roman"/>
                <w:b/>
                <w:sz w:val="20"/>
                <w:szCs w:val="20"/>
                <w:lang w:val="en-GB"/>
              </w:rPr>
              <w:t xml:space="preserve">Standardized Estimates </w:t>
            </w:r>
          </w:p>
          <w:p w14:paraId="185F8DEC" w14:textId="2E064D2E" w:rsidR="00DC724C" w:rsidRPr="007F78BA" w:rsidRDefault="00DC724C" w:rsidP="007A6661">
            <w:pPr>
              <w:jc w:val="center"/>
              <w:rPr>
                <w:rFonts w:ascii="Baskerville Old Face" w:hAnsi="Baskerville Old Face" w:cs="Times New Roman"/>
                <w:sz w:val="20"/>
                <w:szCs w:val="20"/>
                <w:lang w:val="en-GB"/>
              </w:rPr>
            </w:pPr>
            <w:r w:rsidRPr="007F78BA">
              <w:rPr>
                <w:rFonts w:ascii="Baskerville Old Face" w:hAnsi="Baskerville Old Face" w:cs="Times New Roman"/>
                <w:b/>
                <w:sz w:val="20"/>
                <w:szCs w:val="20"/>
                <w:lang w:val="en-GB"/>
              </w:rPr>
              <w:t>(Std. Errors)</w:t>
            </w:r>
          </w:p>
        </w:tc>
        <w:tc>
          <w:tcPr>
            <w:tcW w:w="2237" w:type="dxa"/>
            <w:tcBorders>
              <w:top w:val="single" w:sz="4" w:space="0" w:color="auto"/>
              <w:left w:val="nil"/>
              <w:right w:val="nil"/>
            </w:tcBorders>
          </w:tcPr>
          <w:p w14:paraId="24D46303" w14:textId="77777777" w:rsidR="00DC724C" w:rsidRPr="007F78BA" w:rsidRDefault="00DC724C" w:rsidP="007A6661">
            <w:pPr>
              <w:jc w:val="center"/>
              <w:rPr>
                <w:rFonts w:ascii="Baskerville Old Face" w:hAnsi="Baskerville Old Face" w:cs="Times New Roman"/>
                <w:sz w:val="20"/>
                <w:szCs w:val="20"/>
                <w:lang w:val="en-GB"/>
              </w:rPr>
            </w:pPr>
          </w:p>
        </w:tc>
      </w:tr>
      <w:tr w:rsidR="00DC724C" w:rsidRPr="007F78BA" w14:paraId="44E067A9" w14:textId="77777777" w:rsidTr="00E06FD0">
        <w:trPr>
          <w:trHeight w:val="269"/>
        </w:trPr>
        <w:tc>
          <w:tcPr>
            <w:tcW w:w="3151" w:type="dxa"/>
            <w:tcBorders>
              <w:left w:val="nil"/>
              <w:right w:val="nil"/>
            </w:tcBorders>
          </w:tcPr>
          <w:p w14:paraId="0ED99502" w14:textId="77777777" w:rsidR="00DC724C" w:rsidRPr="007F78BA" w:rsidRDefault="00DC724C" w:rsidP="007A6661">
            <w:pPr>
              <w:rPr>
                <w:rFonts w:ascii="Baskerville Old Face" w:hAnsi="Baskerville Old Face" w:cs="Times New Roman"/>
                <w:b/>
                <w:sz w:val="20"/>
                <w:szCs w:val="20"/>
                <w:lang w:val="en-GB"/>
              </w:rPr>
            </w:pPr>
            <w:r w:rsidRPr="007F78BA">
              <w:rPr>
                <w:rFonts w:ascii="Baskerville Old Face" w:hAnsi="Baskerville Old Face" w:cs="Times New Roman"/>
                <w:b/>
                <w:sz w:val="20"/>
                <w:szCs w:val="20"/>
                <w:lang w:val="en-GB"/>
              </w:rPr>
              <w:t>Defined Parameters</w:t>
            </w:r>
          </w:p>
        </w:tc>
        <w:tc>
          <w:tcPr>
            <w:tcW w:w="2328" w:type="dxa"/>
            <w:tcBorders>
              <w:top w:val="single" w:sz="4" w:space="0" w:color="auto"/>
              <w:left w:val="nil"/>
              <w:right w:val="nil"/>
            </w:tcBorders>
          </w:tcPr>
          <w:p w14:paraId="4C36179C" w14:textId="306508C2" w:rsidR="00DC724C" w:rsidRPr="007F78BA" w:rsidRDefault="00DC724C" w:rsidP="007A6661">
            <w:pPr>
              <w:jc w:val="center"/>
              <w:rPr>
                <w:rFonts w:ascii="Baskerville Old Face" w:hAnsi="Baskerville Old Face" w:cs="Times New Roman"/>
                <w:b/>
                <w:sz w:val="20"/>
                <w:szCs w:val="20"/>
                <w:lang w:val="en-GB"/>
              </w:rPr>
            </w:pPr>
            <w:r w:rsidRPr="007F78BA">
              <w:rPr>
                <w:rFonts w:ascii="Baskerville Old Face" w:hAnsi="Baskerville Old Face" w:cs="Times New Roman"/>
                <w:b/>
                <w:sz w:val="20"/>
                <w:szCs w:val="20"/>
                <w:lang w:val="en-GB"/>
              </w:rPr>
              <w:t>Spain</w:t>
            </w:r>
          </w:p>
        </w:tc>
        <w:tc>
          <w:tcPr>
            <w:tcW w:w="1230" w:type="dxa"/>
            <w:tcBorders>
              <w:top w:val="single" w:sz="4" w:space="0" w:color="auto"/>
              <w:left w:val="nil"/>
              <w:right w:val="nil"/>
            </w:tcBorders>
          </w:tcPr>
          <w:p w14:paraId="5234AA1E" w14:textId="47E77664" w:rsidR="00DC724C" w:rsidRPr="007F78BA" w:rsidRDefault="00DC724C" w:rsidP="007A6661">
            <w:pPr>
              <w:jc w:val="center"/>
              <w:rPr>
                <w:rFonts w:ascii="Baskerville Old Face" w:hAnsi="Baskerville Old Face" w:cs="Times New Roman"/>
                <w:b/>
                <w:sz w:val="20"/>
                <w:szCs w:val="20"/>
                <w:lang w:val="en-GB"/>
              </w:rPr>
            </w:pPr>
            <w:r w:rsidRPr="007F78BA">
              <w:rPr>
                <w:rFonts w:ascii="Baskerville Old Face" w:hAnsi="Baskerville Old Face" w:cs="Times New Roman"/>
                <w:b/>
                <w:sz w:val="20"/>
                <w:szCs w:val="20"/>
                <w:lang w:val="en-GB"/>
              </w:rPr>
              <w:t>Turkey</w:t>
            </w:r>
          </w:p>
        </w:tc>
        <w:tc>
          <w:tcPr>
            <w:tcW w:w="2237" w:type="dxa"/>
            <w:tcBorders>
              <w:top w:val="single" w:sz="4" w:space="0" w:color="auto"/>
              <w:left w:val="nil"/>
              <w:right w:val="nil"/>
            </w:tcBorders>
          </w:tcPr>
          <w:p w14:paraId="496F10B2" w14:textId="362D0F2D" w:rsidR="00DC724C" w:rsidRPr="007F78BA" w:rsidRDefault="007F19BB" w:rsidP="007A6661">
            <w:pPr>
              <w:jc w:val="center"/>
              <w:rPr>
                <w:rFonts w:ascii="Baskerville Old Face" w:hAnsi="Baskerville Old Face" w:cs="Times New Roman"/>
                <w:b/>
                <w:sz w:val="20"/>
                <w:szCs w:val="20"/>
                <w:lang w:val="en-GB"/>
              </w:rPr>
            </w:pPr>
            <w:r w:rsidRPr="007F78BA">
              <w:rPr>
                <w:rFonts w:ascii="Baskerville Old Face" w:hAnsi="Baskerville Old Face" w:cs="Times New Roman"/>
                <w:b/>
                <w:sz w:val="20"/>
                <w:szCs w:val="20"/>
                <w:lang w:val="en-GB"/>
              </w:rPr>
              <w:t>Model Fit</w:t>
            </w:r>
          </w:p>
        </w:tc>
      </w:tr>
      <w:tr w:rsidR="007F19BB" w:rsidRPr="007F78BA" w14:paraId="0931CEA0" w14:textId="77777777" w:rsidTr="00DF1366">
        <w:trPr>
          <w:trHeight w:val="1047"/>
        </w:trPr>
        <w:tc>
          <w:tcPr>
            <w:tcW w:w="3151" w:type="dxa"/>
            <w:tcBorders>
              <w:left w:val="nil"/>
              <w:bottom w:val="nil"/>
              <w:right w:val="nil"/>
            </w:tcBorders>
          </w:tcPr>
          <w:p w14:paraId="38B7B990" w14:textId="77777777" w:rsidR="00DF1366" w:rsidRPr="007F78BA" w:rsidRDefault="00DF1366" w:rsidP="007A6661">
            <w:pPr>
              <w:rPr>
                <w:rFonts w:ascii="Baskerville Old Face" w:hAnsi="Baskerville Old Face" w:cs="Times New Roman"/>
                <w:sz w:val="20"/>
                <w:szCs w:val="20"/>
                <w:lang w:val="en-GB"/>
              </w:rPr>
            </w:pPr>
          </w:p>
          <w:p w14:paraId="43EC35CA" w14:textId="77777777" w:rsidR="00DF1366" w:rsidRPr="007F78BA" w:rsidRDefault="00DF1366" w:rsidP="007A6661">
            <w:pPr>
              <w:rPr>
                <w:rFonts w:ascii="Baskerville Old Face" w:hAnsi="Baskerville Old Face" w:cs="Times New Roman"/>
                <w:sz w:val="20"/>
                <w:szCs w:val="20"/>
                <w:lang w:val="en-GB"/>
              </w:rPr>
            </w:pPr>
          </w:p>
          <w:p w14:paraId="6FF5A6EB" w14:textId="7B569703" w:rsidR="007F19BB" w:rsidRPr="007F78BA" w:rsidRDefault="007F19BB" w:rsidP="007A6661">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 xml:space="preserve">(1) IH </w:t>
            </w:r>
            <w:r w:rsidRPr="007F78BA">
              <w:rPr>
                <w:rFonts w:ascii="Baskerville Old Face" w:hAnsi="Baskerville Old Face" w:cs="Times New Roman"/>
                <w:sz w:val="20"/>
                <w:szCs w:val="20"/>
                <w:lang w:val="en-GB"/>
              </w:rPr>
              <w:sym w:font="Wingdings" w:char="F0E0"/>
            </w:r>
            <w:r w:rsidRPr="007F78BA">
              <w:rPr>
                <w:rFonts w:ascii="Baskerville Old Face" w:hAnsi="Baskerville Old Face" w:cs="Times New Roman"/>
                <w:sz w:val="20"/>
                <w:szCs w:val="20"/>
                <w:lang w:val="en-GB"/>
              </w:rPr>
              <w:t xml:space="preserve"> HPK </w:t>
            </w:r>
            <w:r w:rsidRPr="007F78BA">
              <w:rPr>
                <w:rFonts w:ascii="Baskerville Old Face" w:hAnsi="Baskerville Old Face" w:cs="Times New Roman"/>
                <w:sz w:val="20"/>
                <w:szCs w:val="20"/>
                <w:lang w:val="en-GB"/>
              </w:rPr>
              <w:sym w:font="Wingdings" w:char="F0E0"/>
            </w:r>
            <w:r w:rsidRPr="007F78BA">
              <w:rPr>
                <w:rFonts w:ascii="Baskerville Old Face" w:hAnsi="Baskerville Old Face" w:cs="Times New Roman"/>
                <w:sz w:val="20"/>
                <w:szCs w:val="20"/>
                <w:lang w:val="en-GB"/>
              </w:rPr>
              <w:t xml:space="preserve"> SRB</w:t>
            </w:r>
          </w:p>
        </w:tc>
        <w:tc>
          <w:tcPr>
            <w:tcW w:w="2328" w:type="dxa"/>
            <w:tcBorders>
              <w:left w:val="nil"/>
              <w:bottom w:val="nil"/>
              <w:right w:val="nil"/>
            </w:tcBorders>
            <w:shd w:val="clear" w:color="auto" w:fill="auto"/>
          </w:tcPr>
          <w:p w14:paraId="252F2284" w14:textId="77777777" w:rsidR="00DF1366" w:rsidRPr="007F78BA" w:rsidRDefault="00DF1366" w:rsidP="007A6661">
            <w:pPr>
              <w:jc w:val="center"/>
              <w:rPr>
                <w:rFonts w:ascii="Baskerville Old Face" w:hAnsi="Baskerville Old Face" w:cs="Times New Roman"/>
                <w:sz w:val="20"/>
                <w:szCs w:val="20"/>
                <w:lang w:val="en-GB"/>
              </w:rPr>
            </w:pPr>
          </w:p>
          <w:p w14:paraId="272D4D45" w14:textId="77777777" w:rsidR="00DF1366" w:rsidRPr="007F78BA" w:rsidRDefault="00DF1366" w:rsidP="007A6661">
            <w:pPr>
              <w:jc w:val="center"/>
              <w:rPr>
                <w:rFonts w:ascii="Baskerville Old Face" w:hAnsi="Baskerville Old Face" w:cs="Times New Roman"/>
                <w:sz w:val="20"/>
                <w:szCs w:val="20"/>
                <w:lang w:val="en-GB"/>
              </w:rPr>
            </w:pPr>
          </w:p>
          <w:p w14:paraId="3E116E1F" w14:textId="1C4BE8C3" w:rsidR="007F19BB" w:rsidRPr="007F78BA" w:rsidRDefault="007F19BB" w:rsidP="007A6661">
            <w:pPr>
              <w:jc w:val="cente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-0.014***</w:t>
            </w:r>
          </w:p>
          <w:p w14:paraId="3DBA72B4" w14:textId="4A01CF82" w:rsidR="007F19BB" w:rsidRPr="007F78BA" w:rsidRDefault="007F19BB" w:rsidP="007A6661">
            <w:pPr>
              <w:jc w:val="cente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(0.005)</w:t>
            </w:r>
          </w:p>
        </w:tc>
        <w:tc>
          <w:tcPr>
            <w:tcW w:w="1230" w:type="dxa"/>
            <w:tcBorders>
              <w:left w:val="nil"/>
              <w:bottom w:val="nil"/>
              <w:right w:val="nil"/>
            </w:tcBorders>
            <w:shd w:val="clear" w:color="auto" w:fill="auto"/>
          </w:tcPr>
          <w:p w14:paraId="06F92B11" w14:textId="77777777" w:rsidR="00DF1366" w:rsidRPr="007F78BA" w:rsidRDefault="00DF1366" w:rsidP="007A6661">
            <w:pPr>
              <w:jc w:val="center"/>
              <w:rPr>
                <w:rFonts w:ascii="Baskerville Old Face" w:hAnsi="Baskerville Old Face" w:cs="Times New Roman"/>
                <w:sz w:val="20"/>
                <w:szCs w:val="20"/>
                <w:lang w:val="en-GB"/>
              </w:rPr>
            </w:pPr>
          </w:p>
          <w:p w14:paraId="3620C1B4" w14:textId="77777777" w:rsidR="00DF1366" w:rsidRPr="007F78BA" w:rsidRDefault="00DF1366" w:rsidP="007A6661">
            <w:pPr>
              <w:jc w:val="center"/>
              <w:rPr>
                <w:rFonts w:ascii="Baskerville Old Face" w:hAnsi="Baskerville Old Face" w:cs="Times New Roman"/>
                <w:sz w:val="20"/>
                <w:szCs w:val="20"/>
                <w:lang w:val="en-GB"/>
              </w:rPr>
            </w:pPr>
          </w:p>
          <w:p w14:paraId="538A5047" w14:textId="1FF5DCB5" w:rsidR="007F19BB" w:rsidRPr="007F78BA" w:rsidRDefault="007F19BB" w:rsidP="007A6661">
            <w:pPr>
              <w:jc w:val="cente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0.022</w:t>
            </w:r>
          </w:p>
          <w:p w14:paraId="34CF3C42" w14:textId="77A2F6AA" w:rsidR="007F19BB" w:rsidRPr="007F78BA" w:rsidRDefault="007F19BB" w:rsidP="007A6661">
            <w:pPr>
              <w:jc w:val="cente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(0.019)</w:t>
            </w:r>
          </w:p>
        </w:tc>
        <w:tc>
          <w:tcPr>
            <w:tcW w:w="2237" w:type="dxa"/>
            <w:vMerge w:val="restart"/>
            <w:tcBorders>
              <w:left w:val="nil"/>
              <w:right w:val="nil"/>
            </w:tcBorders>
            <w:shd w:val="clear" w:color="auto" w:fill="auto"/>
          </w:tcPr>
          <w:p w14:paraId="59FA7B24" w14:textId="77777777" w:rsidR="00DF1366" w:rsidRPr="007F78BA" w:rsidRDefault="00DF1366" w:rsidP="00877CC7">
            <w:pPr>
              <w:spacing w:line="276" w:lineRule="auto"/>
              <w:jc w:val="center"/>
              <w:rPr>
                <w:rFonts w:ascii="Cambria" w:hAnsi="Cambria" w:cs="Cambria"/>
                <w:b/>
                <w:sz w:val="20"/>
                <w:szCs w:val="20"/>
                <w:lang w:val="en-GB"/>
              </w:rPr>
            </w:pPr>
          </w:p>
          <w:p w14:paraId="01F34EB4" w14:textId="77777777" w:rsidR="00DF1366" w:rsidRPr="007F78BA" w:rsidRDefault="00DF1366" w:rsidP="00877CC7">
            <w:pPr>
              <w:spacing w:line="276" w:lineRule="auto"/>
              <w:jc w:val="center"/>
              <w:rPr>
                <w:rFonts w:ascii="Cambria" w:hAnsi="Cambria" w:cs="Cambria"/>
                <w:b/>
                <w:sz w:val="20"/>
                <w:szCs w:val="20"/>
                <w:lang w:val="en-GB"/>
              </w:rPr>
            </w:pPr>
          </w:p>
          <w:p w14:paraId="5368A188" w14:textId="79530BA9" w:rsidR="007F19BB" w:rsidRPr="007F78BA" w:rsidRDefault="007F19BB" w:rsidP="00877CC7">
            <w:pPr>
              <w:spacing w:line="276" w:lineRule="auto"/>
              <w:jc w:val="center"/>
              <w:rPr>
                <w:rFonts w:ascii="Baskerville Old Face" w:hAnsi="Baskerville Old Face" w:cs="Times New Roman"/>
                <w:sz w:val="20"/>
                <w:szCs w:val="20"/>
                <w:lang w:val="en-GB"/>
              </w:rPr>
            </w:pPr>
            <w:r w:rsidRPr="007F78BA">
              <w:rPr>
                <w:rFonts w:ascii="Cambria" w:hAnsi="Cambria" w:cs="Cambria"/>
                <w:b/>
                <w:sz w:val="20"/>
                <w:szCs w:val="20"/>
                <w:lang w:val="en-GB"/>
              </w:rPr>
              <w:t>χ</w:t>
            </w:r>
            <w:r w:rsidRPr="007F78BA">
              <w:rPr>
                <w:rFonts w:ascii="Baskerville Old Face" w:hAnsi="Baskerville Old Face" w:cs="Times New Roman"/>
                <w:b/>
                <w:sz w:val="20"/>
                <w:szCs w:val="20"/>
                <w:lang w:val="en-GB"/>
              </w:rPr>
              <w:t>2</w:t>
            </w:r>
            <w:r w:rsidRPr="007F78BA">
              <w:rPr>
                <w:rFonts w:ascii="Baskerville Old Face" w:hAnsi="Baskerville Old Face" w:cs="Times New Roman"/>
                <w:sz w:val="20"/>
                <w:szCs w:val="20"/>
                <w:lang w:val="en-GB"/>
              </w:rPr>
              <w:t xml:space="preserve"> = 740.550</w:t>
            </w:r>
          </w:p>
          <w:p w14:paraId="03CFD89A" w14:textId="3A28CF97" w:rsidR="007F19BB" w:rsidRPr="007F78BA" w:rsidRDefault="007F19BB" w:rsidP="00877CC7">
            <w:pPr>
              <w:spacing w:line="276" w:lineRule="auto"/>
              <w:jc w:val="center"/>
              <w:rPr>
                <w:rFonts w:ascii="Baskerville Old Face" w:hAnsi="Baskerville Old Face" w:cs="Times New Roman"/>
                <w:sz w:val="20"/>
                <w:szCs w:val="20"/>
                <w:lang w:val="en-GB"/>
              </w:rPr>
            </w:pPr>
            <w:r w:rsidRPr="007F78BA">
              <w:rPr>
                <w:rFonts w:ascii="Baskerville Old Face" w:hAnsi="Baskerville Old Face" w:cs="Times New Roman"/>
                <w:b/>
                <w:sz w:val="20"/>
                <w:szCs w:val="20"/>
                <w:lang w:val="en-GB"/>
              </w:rPr>
              <w:lastRenderedPageBreak/>
              <w:t xml:space="preserve">DF </w:t>
            </w:r>
            <w:r w:rsidRPr="007F78BA">
              <w:rPr>
                <w:rFonts w:ascii="Baskerville Old Face" w:hAnsi="Baskerville Old Face" w:cs="Times New Roman"/>
                <w:sz w:val="20"/>
                <w:szCs w:val="20"/>
                <w:lang w:val="en-GB"/>
              </w:rPr>
              <w:t>= (186)</w:t>
            </w:r>
          </w:p>
          <w:p w14:paraId="1E6B2F69" w14:textId="38348F42" w:rsidR="007F19BB" w:rsidRPr="007F78BA" w:rsidRDefault="007F19BB" w:rsidP="00877CC7">
            <w:pPr>
              <w:spacing w:line="276" w:lineRule="auto"/>
              <w:jc w:val="center"/>
              <w:rPr>
                <w:rFonts w:ascii="Baskerville Old Face" w:hAnsi="Baskerville Old Face" w:cs="Times New Roman"/>
                <w:sz w:val="20"/>
                <w:szCs w:val="20"/>
                <w:lang w:val="en-GB"/>
              </w:rPr>
            </w:pPr>
            <w:r w:rsidRPr="007F78BA">
              <w:rPr>
                <w:rFonts w:ascii="Baskerville Old Face" w:hAnsi="Baskerville Old Face" w:cs="Times New Roman"/>
                <w:b/>
                <w:sz w:val="20"/>
                <w:szCs w:val="20"/>
                <w:lang w:val="en-GB"/>
              </w:rPr>
              <w:t xml:space="preserve">CFI </w:t>
            </w:r>
            <w:r w:rsidRPr="007F78BA">
              <w:rPr>
                <w:rFonts w:ascii="Baskerville Old Face" w:hAnsi="Baskerville Old Face" w:cs="Times New Roman"/>
                <w:sz w:val="20"/>
                <w:szCs w:val="20"/>
                <w:lang w:val="en-GB"/>
              </w:rPr>
              <w:t>= 0.972</w:t>
            </w:r>
          </w:p>
          <w:p w14:paraId="67450C35" w14:textId="77777777" w:rsidR="007F19BB" w:rsidRPr="007F78BA" w:rsidRDefault="007F19BB" w:rsidP="00877CC7">
            <w:pPr>
              <w:spacing w:line="276" w:lineRule="auto"/>
              <w:jc w:val="center"/>
              <w:rPr>
                <w:rFonts w:ascii="Baskerville Old Face" w:hAnsi="Baskerville Old Face" w:cs="Times New Roman"/>
                <w:sz w:val="20"/>
                <w:szCs w:val="20"/>
                <w:lang w:val="en-GB"/>
              </w:rPr>
            </w:pPr>
            <w:r w:rsidRPr="007F78BA">
              <w:rPr>
                <w:rFonts w:ascii="Baskerville Old Face" w:hAnsi="Baskerville Old Face" w:cs="Times New Roman"/>
                <w:b/>
                <w:sz w:val="20"/>
                <w:szCs w:val="20"/>
                <w:lang w:val="en-GB"/>
              </w:rPr>
              <w:t>TLI</w:t>
            </w:r>
            <w:r w:rsidRPr="007F78BA">
              <w:rPr>
                <w:rFonts w:ascii="Baskerville Old Face" w:hAnsi="Baskerville Old Face" w:cs="Times New Roman"/>
                <w:sz w:val="20"/>
                <w:szCs w:val="20"/>
                <w:lang w:val="en-GB"/>
              </w:rPr>
              <w:t xml:space="preserve"> = 0.964</w:t>
            </w:r>
          </w:p>
          <w:p w14:paraId="2CC56418" w14:textId="77777777" w:rsidR="007F19BB" w:rsidRPr="007F78BA" w:rsidRDefault="007F19BB" w:rsidP="00877CC7">
            <w:pPr>
              <w:spacing w:line="276" w:lineRule="auto"/>
              <w:jc w:val="center"/>
              <w:rPr>
                <w:rFonts w:ascii="Baskerville Old Face" w:hAnsi="Baskerville Old Face" w:cs="Times New Roman"/>
                <w:sz w:val="20"/>
                <w:szCs w:val="20"/>
                <w:lang w:val="en-GB"/>
              </w:rPr>
            </w:pPr>
            <w:r w:rsidRPr="007F78BA">
              <w:rPr>
                <w:rFonts w:ascii="Baskerville Old Face" w:hAnsi="Baskerville Old Face" w:cs="Times New Roman"/>
                <w:b/>
                <w:sz w:val="20"/>
                <w:szCs w:val="20"/>
                <w:lang w:val="en-GB"/>
              </w:rPr>
              <w:t>RMSEA (90% CI)</w:t>
            </w:r>
            <w:r w:rsidRPr="007F78BA">
              <w:rPr>
                <w:rFonts w:ascii="Baskerville Old Face" w:hAnsi="Baskerville Old Face" w:cs="Times New Roman"/>
                <w:sz w:val="20"/>
                <w:szCs w:val="20"/>
                <w:lang w:val="en-GB"/>
              </w:rPr>
              <w:t xml:space="preserve"> = 0.039 (0.036-0.042)</w:t>
            </w:r>
          </w:p>
          <w:p w14:paraId="0D4773CA" w14:textId="1ACCA722" w:rsidR="007F19BB" w:rsidRPr="007F78BA" w:rsidRDefault="007F19BB" w:rsidP="00877CC7">
            <w:pPr>
              <w:spacing w:line="276" w:lineRule="auto"/>
              <w:jc w:val="center"/>
              <w:rPr>
                <w:rFonts w:ascii="Baskerville Old Face" w:hAnsi="Baskerville Old Face" w:cs="Times New Roman"/>
                <w:sz w:val="20"/>
                <w:szCs w:val="20"/>
                <w:lang w:val="en-GB"/>
              </w:rPr>
            </w:pPr>
            <w:r w:rsidRPr="007F78BA">
              <w:rPr>
                <w:rFonts w:ascii="Baskerville Old Face" w:hAnsi="Baskerville Old Face" w:cs="Times New Roman"/>
                <w:b/>
                <w:sz w:val="20"/>
                <w:szCs w:val="20"/>
                <w:lang w:val="en-GB"/>
              </w:rPr>
              <w:t xml:space="preserve">SRMR </w:t>
            </w:r>
            <w:r w:rsidRPr="007F78BA">
              <w:rPr>
                <w:rFonts w:ascii="Baskerville Old Face" w:hAnsi="Baskerville Old Face" w:cs="Times New Roman"/>
                <w:sz w:val="20"/>
                <w:szCs w:val="20"/>
                <w:lang w:val="en-GB"/>
              </w:rPr>
              <w:t>= 0.033</w:t>
            </w:r>
          </w:p>
        </w:tc>
      </w:tr>
      <w:tr w:rsidR="007F19BB" w:rsidRPr="007F78BA" w14:paraId="31D56329" w14:textId="77777777" w:rsidTr="00E06FD0">
        <w:trPr>
          <w:trHeight w:val="685"/>
        </w:trPr>
        <w:tc>
          <w:tcPr>
            <w:tcW w:w="3151" w:type="dxa"/>
            <w:tcBorders>
              <w:top w:val="nil"/>
              <w:left w:val="nil"/>
              <w:bottom w:val="nil"/>
              <w:right w:val="nil"/>
            </w:tcBorders>
          </w:tcPr>
          <w:p w14:paraId="56D0731E" w14:textId="47E81DCB" w:rsidR="007F19BB" w:rsidRPr="007F78BA" w:rsidRDefault="007F19BB" w:rsidP="007A6661">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lastRenderedPageBreak/>
              <w:t xml:space="preserve">(2) IH </w:t>
            </w:r>
            <w:r w:rsidRPr="007F78BA">
              <w:rPr>
                <w:rFonts w:ascii="Baskerville Old Face" w:hAnsi="Baskerville Old Face" w:cs="Times New Roman"/>
                <w:sz w:val="20"/>
                <w:szCs w:val="20"/>
                <w:lang w:val="en-GB"/>
              </w:rPr>
              <w:sym w:font="Wingdings" w:char="F0E0"/>
            </w:r>
            <w:r w:rsidRPr="007F78BA">
              <w:rPr>
                <w:rFonts w:ascii="Baskerville Old Face" w:hAnsi="Baskerville Old Face" w:cs="Times New Roman"/>
                <w:sz w:val="20"/>
                <w:szCs w:val="20"/>
                <w:lang w:val="en-GB"/>
              </w:rPr>
              <w:t xml:space="preserve"> </w:t>
            </w:r>
            <w:r w:rsidR="00E93EC1">
              <w:rPr>
                <w:rFonts w:ascii="Baskerville Old Face" w:hAnsi="Baskerville Old Face" w:cs="Times New Roman"/>
                <w:sz w:val="20"/>
                <w:szCs w:val="20"/>
                <w:lang w:val="en-GB"/>
              </w:rPr>
              <w:t>SUIS</w:t>
            </w:r>
            <w:r w:rsidRPr="007F78BA">
              <w:rPr>
                <w:rFonts w:ascii="Baskerville Old Face" w:hAnsi="Baskerville Old Face" w:cs="Times New Roman"/>
                <w:sz w:val="20"/>
                <w:szCs w:val="20"/>
                <w:lang w:val="en-GB"/>
              </w:rPr>
              <w:t xml:space="preserve"> </w:t>
            </w:r>
            <w:r w:rsidRPr="007F78BA">
              <w:rPr>
                <w:rFonts w:ascii="Baskerville Old Face" w:hAnsi="Baskerville Old Face" w:cs="Times New Roman"/>
                <w:sz w:val="20"/>
                <w:szCs w:val="20"/>
                <w:lang w:val="en-GB"/>
              </w:rPr>
              <w:sym w:font="Wingdings" w:char="F0E0"/>
            </w:r>
            <w:r w:rsidRPr="007F78BA">
              <w:rPr>
                <w:rFonts w:ascii="Baskerville Old Face" w:hAnsi="Baskerville Old Face" w:cs="Times New Roman"/>
                <w:sz w:val="20"/>
                <w:szCs w:val="20"/>
                <w:lang w:val="en-GB"/>
              </w:rPr>
              <w:t xml:space="preserve"> SRB</w:t>
            </w:r>
          </w:p>
        </w:tc>
        <w:tc>
          <w:tcPr>
            <w:tcW w:w="2328" w:type="dxa"/>
            <w:tcBorders>
              <w:top w:val="nil"/>
              <w:left w:val="nil"/>
              <w:bottom w:val="nil"/>
              <w:right w:val="nil"/>
            </w:tcBorders>
            <w:shd w:val="clear" w:color="auto" w:fill="auto"/>
          </w:tcPr>
          <w:p w14:paraId="2A4E1D36" w14:textId="5F4D5D7A" w:rsidR="007F19BB" w:rsidRPr="007F78BA" w:rsidRDefault="007F19BB" w:rsidP="007A6661">
            <w:pPr>
              <w:jc w:val="cente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0.001</w:t>
            </w:r>
          </w:p>
          <w:p w14:paraId="5E1792D7" w14:textId="06AEEC5A" w:rsidR="007F19BB" w:rsidRPr="007F78BA" w:rsidRDefault="007F19BB" w:rsidP="007A6661">
            <w:pPr>
              <w:jc w:val="cente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 xml:space="preserve"> (0.008)</w:t>
            </w:r>
          </w:p>
        </w:tc>
        <w:tc>
          <w:tcPr>
            <w:tcW w:w="1230" w:type="dxa"/>
            <w:tcBorders>
              <w:top w:val="nil"/>
              <w:left w:val="nil"/>
              <w:bottom w:val="nil"/>
              <w:right w:val="nil"/>
            </w:tcBorders>
            <w:shd w:val="clear" w:color="auto" w:fill="auto"/>
          </w:tcPr>
          <w:p w14:paraId="259D4B42" w14:textId="77777777" w:rsidR="007F19BB" w:rsidRPr="007F78BA" w:rsidRDefault="007F19BB" w:rsidP="007A6661">
            <w:pPr>
              <w:jc w:val="cente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-0.008</w:t>
            </w:r>
          </w:p>
          <w:p w14:paraId="49693100" w14:textId="40858934" w:rsidR="007F19BB" w:rsidRPr="007F78BA" w:rsidRDefault="007F19BB" w:rsidP="007A6661">
            <w:pPr>
              <w:jc w:val="cente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(0.038)</w:t>
            </w:r>
          </w:p>
        </w:tc>
        <w:tc>
          <w:tcPr>
            <w:tcW w:w="2237" w:type="dxa"/>
            <w:vMerge/>
            <w:tcBorders>
              <w:left w:val="nil"/>
              <w:right w:val="nil"/>
            </w:tcBorders>
            <w:shd w:val="clear" w:color="auto" w:fill="auto"/>
          </w:tcPr>
          <w:p w14:paraId="6389A03E" w14:textId="2BF9188E" w:rsidR="007F19BB" w:rsidRPr="007F78BA" w:rsidRDefault="007F19BB" w:rsidP="007A6661">
            <w:pPr>
              <w:jc w:val="center"/>
              <w:rPr>
                <w:rFonts w:ascii="Baskerville Old Face" w:hAnsi="Baskerville Old Face" w:cs="Times New Roman"/>
                <w:sz w:val="20"/>
                <w:szCs w:val="20"/>
                <w:lang w:val="en-GB"/>
              </w:rPr>
            </w:pPr>
          </w:p>
        </w:tc>
      </w:tr>
      <w:tr w:rsidR="007F19BB" w:rsidRPr="007F78BA" w14:paraId="0BD9848E" w14:textId="77777777" w:rsidTr="00E06FD0">
        <w:trPr>
          <w:trHeight w:val="657"/>
        </w:trPr>
        <w:tc>
          <w:tcPr>
            <w:tcW w:w="3151" w:type="dxa"/>
            <w:tcBorders>
              <w:top w:val="nil"/>
              <w:left w:val="nil"/>
              <w:bottom w:val="nil"/>
              <w:right w:val="nil"/>
            </w:tcBorders>
          </w:tcPr>
          <w:p w14:paraId="6249E04D" w14:textId="5E4AC4EF" w:rsidR="007F19BB" w:rsidRPr="007F78BA" w:rsidRDefault="007F19BB" w:rsidP="007A6661">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 xml:space="preserve">(3) IH </w:t>
            </w:r>
            <w:r w:rsidRPr="007F78BA">
              <w:rPr>
                <w:rFonts w:ascii="Baskerville Old Face" w:hAnsi="Baskerville Old Face" w:cs="Times New Roman"/>
                <w:sz w:val="20"/>
                <w:szCs w:val="20"/>
                <w:lang w:val="en-GB"/>
              </w:rPr>
              <w:sym w:font="Wingdings" w:char="F0E0"/>
            </w:r>
            <w:r w:rsidRPr="007F78BA">
              <w:rPr>
                <w:rFonts w:ascii="Baskerville Old Face" w:hAnsi="Baskerville Old Face" w:cs="Times New Roman"/>
                <w:sz w:val="20"/>
                <w:szCs w:val="20"/>
                <w:lang w:val="en-GB"/>
              </w:rPr>
              <w:t xml:space="preserve"> SU </w:t>
            </w:r>
            <w:r w:rsidRPr="007F78BA">
              <w:rPr>
                <w:rFonts w:ascii="Baskerville Old Face" w:hAnsi="Baskerville Old Face" w:cs="Times New Roman"/>
                <w:sz w:val="20"/>
                <w:szCs w:val="20"/>
                <w:lang w:val="en-GB"/>
              </w:rPr>
              <w:sym w:font="Wingdings" w:char="F0E0"/>
            </w:r>
            <w:r w:rsidRPr="007F78BA">
              <w:rPr>
                <w:rFonts w:ascii="Baskerville Old Face" w:hAnsi="Baskerville Old Face" w:cs="Times New Roman"/>
                <w:sz w:val="20"/>
                <w:szCs w:val="20"/>
                <w:lang w:val="en-GB"/>
              </w:rPr>
              <w:t xml:space="preserve"> </w:t>
            </w:r>
            <w:r w:rsidR="00E93EC1">
              <w:rPr>
                <w:rFonts w:ascii="Baskerville Old Face" w:hAnsi="Baskerville Old Face" w:cs="Times New Roman"/>
                <w:sz w:val="20"/>
                <w:szCs w:val="20"/>
                <w:lang w:val="en-GB"/>
              </w:rPr>
              <w:t>SUIS</w:t>
            </w:r>
          </w:p>
        </w:tc>
        <w:tc>
          <w:tcPr>
            <w:tcW w:w="2328" w:type="dxa"/>
            <w:tcBorders>
              <w:top w:val="nil"/>
              <w:left w:val="nil"/>
              <w:bottom w:val="nil"/>
              <w:right w:val="nil"/>
            </w:tcBorders>
            <w:shd w:val="clear" w:color="auto" w:fill="auto"/>
          </w:tcPr>
          <w:p w14:paraId="72A80312" w14:textId="322DF17E" w:rsidR="007F19BB" w:rsidRPr="007F78BA" w:rsidRDefault="007F19BB" w:rsidP="007A6661">
            <w:pPr>
              <w:jc w:val="cente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-0.055***</w:t>
            </w:r>
          </w:p>
          <w:p w14:paraId="6CEBFCC0" w14:textId="04F92BFB" w:rsidR="007F19BB" w:rsidRPr="007F78BA" w:rsidRDefault="007F19BB" w:rsidP="007A6661">
            <w:pPr>
              <w:jc w:val="cente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(0.011)</w:t>
            </w:r>
          </w:p>
        </w:tc>
        <w:tc>
          <w:tcPr>
            <w:tcW w:w="1230" w:type="dxa"/>
            <w:tcBorders>
              <w:top w:val="nil"/>
              <w:left w:val="nil"/>
              <w:bottom w:val="nil"/>
              <w:right w:val="nil"/>
            </w:tcBorders>
            <w:shd w:val="clear" w:color="auto" w:fill="auto"/>
          </w:tcPr>
          <w:p w14:paraId="10EB46FF" w14:textId="77777777" w:rsidR="007F19BB" w:rsidRPr="007F78BA" w:rsidRDefault="007F19BB" w:rsidP="007A6661">
            <w:pPr>
              <w:jc w:val="cente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-0.160***</w:t>
            </w:r>
          </w:p>
          <w:p w14:paraId="344C4E48" w14:textId="0F41A4D4" w:rsidR="007F19BB" w:rsidRPr="007F78BA" w:rsidRDefault="007F19BB" w:rsidP="007A6661">
            <w:pPr>
              <w:jc w:val="cente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(0.036)</w:t>
            </w:r>
          </w:p>
        </w:tc>
        <w:tc>
          <w:tcPr>
            <w:tcW w:w="2237" w:type="dxa"/>
            <w:vMerge/>
            <w:tcBorders>
              <w:left w:val="nil"/>
              <w:right w:val="nil"/>
            </w:tcBorders>
            <w:shd w:val="clear" w:color="auto" w:fill="auto"/>
          </w:tcPr>
          <w:p w14:paraId="6E63F5CC" w14:textId="0E2FCC17" w:rsidR="007F19BB" w:rsidRPr="007F78BA" w:rsidRDefault="007F19BB" w:rsidP="007A6661">
            <w:pPr>
              <w:jc w:val="center"/>
              <w:rPr>
                <w:rFonts w:ascii="Baskerville Old Face" w:hAnsi="Baskerville Old Face" w:cs="Times New Roman"/>
                <w:sz w:val="20"/>
                <w:szCs w:val="20"/>
                <w:lang w:val="en-GB"/>
              </w:rPr>
            </w:pPr>
          </w:p>
        </w:tc>
      </w:tr>
      <w:tr w:rsidR="007F19BB" w:rsidRPr="007F78BA" w14:paraId="3E281271" w14:textId="77777777" w:rsidTr="00E06FD0">
        <w:trPr>
          <w:trHeight w:val="644"/>
        </w:trPr>
        <w:tc>
          <w:tcPr>
            <w:tcW w:w="3151" w:type="dxa"/>
            <w:tcBorders>
              <w:top w:val="nil"/>
              <w:left w:val="nil"/>
              <w:bottom w:val="single" w:sz="4" w:space="0" w:color="auto"/>
              <w:right w:val="nil"/>
            </w:tcBorders>
          </w:tcPr>
          <w:p w14:paraId="32BEEF5D" w14:textId="77777777" w:rsidR="007F19BB" w:rsidRPr="007F78BA" w:rsidRDefault="007F19BB" w:rsidP="007A6661">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 xml:space="preserve">(4) Direct Effect (IH </w:t>
            </w:r>
            <w:r w:rsidRPr="007F78BA">
              <w:rPr>
                <w:rFonts w:ascii="Baskerville Old Face" w:hAnsi="Baskerville Old Face" w:cs="Times New Roman"/>
                <w:sz w:val="20"/>
                <w:szCs w:val="20"/>
                <w:lang w:val="en-GB"/>
              </w:rPr>
              <w:sym w:font="Wingdings" w:char="F0E0"/>
            </w:r>
            <w:r w:rsidRPr="007F78BA">
              <w:rPr>
                <w:rFonts w:ascii="Baskerville Old Face" w:hAnsi="Baskerville Old Face" w:cs="Times New Roman"/>
                <w:sz w:val="20"/>
                <w:szCs w:val="20"/>
                <w:lang w:val="en-GB"/>
              </w:rPr>
              <w:t xml:space="preserve"> SRB)</w:t>
            </w:r>
          </w:p>
        </w:tc>
        <w:tc>
          <w:tcPr>
            <w:tcW w:w="2328" w:type="dxa"/>
            <w:tcBorders>
              <w:top w:val="nil"/>
              <w:left w:val="nil"/>
              <w:bottom w:val="single" w:sz="4" w:space="0" w:color="auto"/>
              <w:right w:val="nil"/>
            </w:tcBorders>
            <w:shd w:val="clear" w:color="auto" w:fill="auto"/>
          </w:tcPr>
          <w:p w14:paraId="61F189F7" w14:textId="5FC95A0C" w:rsidR="007F19BB" w:rsidRPr="007F78BA" w:rsidRDefault="007F19BB" w:rsidP="007A6661">
            <w:pPr>
              <w:jc w:val="cente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-0.004</w:t>
            </w:r>
          </w:p>
          <w:p w14:paraId="0A46B801" w14:textId="687ABF37" w:rsidR="007F19BB" w:rsidRPr="007F78BA" w:rsidRDefault="007F19BB" w:rsidP="007A6661">
            <w:pPr>
              <w:jc w:val="cente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(0.021)</w:t>
            </w:r>
          </w:p>
        </w:tc>
        <w:tc>
          <w:tcPr>
            <w:tcW w:w="1230" w:type="dxa"/>
            <w:tcBorders>
              <w:top w:val="nil"/>
              <w:left w:val="nil"/>
              <w:bottom w:val="single" w:sz="4" w:space="0" w:color="auto"/>
              <w:right w:val="nil"/>
            </w:tcBorders>
            <w:shd w:val="clear" w:color="auto" w:fill="auto"/>
          </w:tcPr>
          <w:p w14:paraId="3D79BFC5" w14:textId="77777777" w:rsidR="007F19BB" w:rsidRPr="007F78BA" w:rsidRDefault="007F19BB" w:rsidP="007A6661">
            <w:pPr>
              <w:jc w:val="cente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0.087</w:t>
            </w:r>
          </w:p>
          <w:p w14:paraId="560DA7B9" w14:textId="06BCD4EE" w:rsidR="007F19BB" w:rsidRPr="007F78BA" w:rsidRDefault="007F19BB" w:rsidP="007A6661">
            <w:pPr>
              <w:jc w:val="cente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(0.088)</w:t>
            </w:r>
          </w:p>
        </w:tc>
        <w:tc>
          <w:tcPr>
            <w:tcW w:w="2237" w:type="dxa"/>
            <w:vMerge/>
            <w:tcBorders>
              <w:left w:val="nil"/>
              <w:bottom w:val="single" w:sz="4" w:space="0" w:color="auto"/>
              <w:right w:val="nil"/>
            </w:tcBorders>
            <w:shd w:val="clear" w:color="auto" w:fill="auto"/>
          </w:tcPr>
          <w:p w14:paraId="64E8483C" w14:textId="5AB5534A" w:rsidR="007F19BB" w:rsidRPr="007F78BA" w:rsidRDefault="007F19BB" w:rsidP="007A6661">
            <w:pPr>
              <w:jc w:val="center"/>
              <w:rPr>
                <w:rFonts w:ascii="Baskerville Old Face" w:hAnsi="Baskerville Old Face" w:cs="Times New Roman"/>
                <w:sz w:val="20"/>
                <w:szCs w:val="20"/>
                <w:lang w:val="en-GB"/>
              </w:rPr>
            </w:pPr>
          </w:p>
        </w:tc>
      </w:tr>
    </w:tbl>
    <w:p w14:paraId="2258616E" w14:textId="702240DE" w:rsidR="00DC724C" w:rsidRPr="007F78BA" w:rsidRDefault="00DC724C" w:rsidP="00A1425B">
      <w:pPr>
        <w:tabs>
          <w:tab w:val="left" w:pos="3324"/>
        </w:tabs>
        <w:jc w:val="both"/>
        <w:rPr>
          <w:rFonts w:ascii="Times New Roman" w:hAnsi="Times New Roman" w:cs="Times New Roman"/>
          <w:bCs/>
          <w:sz w:val="20"/>
          <w:szCs w:val="20"/>
          <w:lang w:val="en-GB"/>
        </w:rPr>
      </w:pPr>
      <w:r w:rsidRPr="007F78BA">
        <w:rPr>
          <w:rFonts w:ascii="Times New Roman" w:hAnsi="Times New Roman" w:cs="Times New Roman"/>
          <w:b/>
          <w:sz w:val="20"/>
          <w:szCs w:val="20"/>
          <w:lang w:val="en-GB"/>
        </w:rPr>
        <w:t>***</w:t>
      </w:r>
      <w:r w:rsidRPr="007F78BA">
        <w:rPr>
          <w:rFonts w:ascii="Times New Roman" w:hAnsi="Times New Roman" w:cs="Times New Roman"/>
          <w:sz w:val="20"/>
          <w:szCs w:val="20"/>
          <w:lang w:val="en-GB"/>
        </w:rPr>
        <w:t xml:space="preserve"> p &lt; 0.01, </w:t>
      </w:r>
      <w:r w:rsidRPr="007F78BA">
        <w:rPr>
          <w:rFonts w:ascii="Times New Roman" w:hAnsi="Times New Roman" w:cs="Times New Roman"/>
          <w:b/>
          <w:sz w:val="20"/>
          <w:szCs w:val="20"/>
          <w:lang w:val="en-GB"/>
        </w:rPr>
        <w:t>**</w:t>
      </w:r>
      <w:r w:rsidRPr="007F78BA">
        <w:rPr>
          <w:rFonts w:ascii="Times New Roman" w:hAnsi="Times New Roman" w:cs="Times New Roman"/>
          <w:sz w:val="20"/>
          <w:szCs w:val="20"/>
          <w:lang w:val="en-GB"/>
        </w:rPr>
        <w:t xml:space="preserve"> p &lt; 0.05, </w:t>
      </w:r>
      <w:r w:rsidRPr="007F78BA">
        <w:rPr>
          <w:rFonts w:ascii="Times New Roman" w:hAnsi="Times New Roman" w:cs="Times New Roman"/>
          <w:b/>
          <w:sz w:val="20"/>
          <w:szCs w:val="20"/>
          <w:lang w:val="en-GB"/>
        </w:rPr>
        <w:t>*</w:t>
      </w:r>
      <w:r w:rsidRPr="007F78BA">
        <w:rPr>
          <w:rFonts w:ascii="Times New Roman" w:hAnsi="Times New Roman" w:cs="Times New Roman"/>
          <w:sz w:val="20"/>
          <w:szCs w:val="20"/>
          <w:lang w:val="en-GB"/>
        </w:rPr>
        <w:t xml:space="preserve"> p &lt; 0.1. </w:t>
      </w:r>
      <w:r w:rsidRPr="007F78BA">
        <w:rPr>
          <w:rFonts w:ascii="Times New Roman" w:hAnsi="Times New Roman" w:cs="Times New Roman"/>
          <w:bCs/>
          <w:sz w:val="20"/>
          <w:szCs w:val="20"/>
          <w:lang w:val="en-GB"/>
        </w:rPr>
        <w:t xml:space="preserve">(1) Relationship between IH and </w:t>
      </w:r>
      <w:proofErr w:type="spellStart"/>
      <w:r w:rsidRPr="007F78BA">
        <w:rPr>
          <w:rFonts w:ascii="Times New Roman" w:hAnsi="Times New Roman" w:cs="Times New Roman"/>
          <w:bCs/>
          <w:sz w:val="20"/>
          <w:szCs w:val="20"/>
          <w:lang w:val="en-GB"/>
        </w:rPr>
        <w:t>SRB</w:t>
      </w:r>
      <w:proofErr w:type="spellEnd"/>
      <w:r w:rsidRPr="007F78BA">
        <w:rPr>
          <w:rFonts w:ascii="Times New Roman" w:hAnsi="Times New Roman" w:cs="Times New Roman"/>
          <w:bCs/>
          <w:sz w:val="20"/>
          <w:szCs w:val="20"/>
          <w:lang w:val="en-GB"/>
        </w:rPr>
        <w:t xml:space="preserve"> mediated by HIV/</w:t>
      </w:r>
      <w:proofErr w:type="spellStart"/>
      <w:r w:rsidRPr="007F78BA">
        <w:rPr>
          <w:rFonts w:ascii="Times New Roman" w:hAnsi="Times New Roman" w:cs="Times New Roman"/>
          <w:bCs/>
          <w:sz w:val="20"/>
          <w:szCs w:val="20"/>
          <w:lang w:val="en-GB"/>
        </w:rPr>
        <w:t>PrEP</w:t>
      </w:r>
      <w:proofErr w:type="spellEnd"/>
      <w:r w:rsidRPr="007F78BA">
        <w:rPr>
          <w:rFonts w:ascii="Times New Roman" w:hAnsi="Times New Roman" w:cs="Times New Roman"/>
          <w:bCs/>
          <w:sz w:val="20"/>
          <w:szCs w:val="20"/>
          <w:lang w:val="en-GB"/>
        </w:rPr>
        <w:t xml:space="preserve"> knowledge. (2) Relationship between IH and SRB mediated by </w:t>
      </w:r>
      <w:r w:rsidR="00B617AA">
        <w:rPr>
          <w:rFonts w:ascii="Times New Roman" w:hAnsi="Times New Roman" w:cs="Times New Roman"/>
          <w:bCs/>
          <w:sz w:val="20"/>
          <w:szCs w:val="20"/>
          <w:lang w:val="en-GB"/>
        </w:rPr>
        <w:t>frequency of SUIS</w:t>
      </w:r>
      <w:r w:rsidRPr="007F78BA">
        <w:rPr>
          <w:rFonts w:ascii="Times New Roman" w:hAnsi="Times New Roman" w:cs="Times New Roman"/>
          <w:bCs/>
          <w:sz w:val="20"/>
          <w:szCs w:val="20"/>
          <w:lang w:val="en-GB"/>
        </w:rPr>
        <w:t xml:space="preserve">. (3) Relationship between IH and </w:t>
      </w:r>
      <w:r w:rsidR="00B617AA">
        <w:rPr>
          <w:rFonts w:ascii="Times New Roman" w:hAnsi="Times New Roman" w:cs="Times New Roman"/>
          <w:bCs/>
          <w:sz w:val="20"/>
          <w:szCs w:val="20"/>
          <w:lang w:val="en-GB"/>
        </w:rPr>
        <w:t>sex under the influence of substances</w:t>
      </w:r>
      <w:r w:rsidRPr="007F78BA">
        <w:rPr>
          <w:rFonts w:ascii="Times New Roman" w:hAnsi="Times New Roman" w:cs="Times New Roman"/>
          <w:bCs/>
          <w:sz w:val="20"/>
          <w:szCs w:val="20"/>
          <w:lang w:val="en-GB"/>
        </w:rPr>
        <w:t xml:space="preserve"> mediated by substance use. (4) Direct effect of IH on SRB. </w:t>
      </w:r>
      <w:r w:rsidRPr="007F78BA">
        <w:rPr>
          <w:rFonts w:ascii="Times New Roman" w:hAnsi="Times New Roman" w:cs="Times New Roman"/>
          <w:b/>
          <w:sz w:val="20"/>
          <w:szCs w:val="20"/>
          <w:lang w:val="en-GB"/>
        </w:rPr>
        <w:t>IH,</w:t>
      </w:r>
      <w:r w:rsidRPr="007F78BA">
        <w:rPr>
          <w:rFonts w:ascii="Times New Roman" w:hAnsi="Times New Roman" w:cs="Times New Roman"/>
          <w:sz w:val="20"/>
          <w:szCs w:val="20"/>
          <w:lang w:val="en-GB"/>
        </w:rPr>
        <w:t xml:space="preserve"> Internalised Homonegativity; </w:t>
      </w:r>
      <w:proofErr w:type="spellStart"/>
      <w:r w:rsidRPr="007F78BA">
        <w:rPr>
          <w:rFonts w:ascii="Times New Roman" w:hAnsi="Times New Roman" w:cs="Times New Roman"/>
          <w:b/>
          <w:sz w:val="20"/>
          <w:szCs w:val="20"/>
          <w:lang w:val="en-GB"/>
        </w:rPr>
        <w:t>HPK</w:t>
      </w:r>
      <w:proofErr w:type="spellEnd"/>
      <w:r w:rsidRPr="007F78BA">
        <w:rPr>
          <w:rFonts w:ascii="Times New Roman" w:hAnsi="Times New Roman" w:cs="Times New Roman"/>
          <w:b/>
          <w:sz w:val="20"/>
          <w:szCs w:val="20"/>
          <w:lang w:val="en-GB"/>
        </w:rPr>
        <w:t xml:space="preserve">, </w:t>
      </w:r>
      <w:r w:rsidRPr="007F78BA">
        <w:rPr>
          <w:rFonts w:ascii="Times New Roman" w:hAnsi="Times New Roman" w:cs="Times New Roman"/>
          <w:sz w:val="20"/>
          <w:szCs w:val="20"/>
          <w:lang w:val="en-GB"/>
        </w:rPr>
        <w:t>HIV/</w:t>
      </w:r>
      <w:proofErr w:type="spellStart"/>
      <w:r w:rsidRPr="007F78BA">
        <w:rPr>
          <w:rFonts w:ascii="Times New Roman" w:hAnsi="Times New Roman" w:cs="Times New Roman"/>
          <w:sz w:val="20"/>
          <w:szCs w:val="20"/>
          <w:lang w:val="en-GB"/>
        </w:rPr>
        <w:t>PrEP</w:t>
      </w:r>
      <w:proofErr w:type="spellEnd"/>
      <w:r w:rsidRPr="007F78BA">
        <w:rPr>
          <w:rFonts w:ascii="Times New Roman" w:hAnsi="Times New Roman" w:cs="Times New Roman"/>
          <w:sz w:val="20"/>
          <w:szCs w:val="20"/>
          <w:lang w:val="en-GB"/>
        </w:rPr>
        <w:t xml:space="preserve"> Knowledge; </w:t>
      </w:r>
      <w:proofErr w:type="spellStart"/>
      <w:r w:rsidRPr="007F78BA">
        <w:rPr>
          <w:rFonts w:ascii="Times New Roman" w:hAnsi="Times New Roman" w:cs="Times New Roman"/>
          <w:b/>
          <w:sz w:val="20"/>
          <w:szCs w:val="20"/>
          <w:lang w:val="en-GB"/>
        </w:rPr>
        <w:t>SRB</w:t>
      </w:r>
      <w:proofErr w:type="spellEnd"/>
      <w:r w:rsidRPr="007F78BA">
        <w:rPr>
          <w:rFonts w:ascii="Times New Roman" w:hAnsi="Times New Roman" w:cs="Times New Roman"/>
          <w:b/>
          <w:sz w:val="20"/>
          <w:szCs w:val="20"/>
          <w:lang w:val="en-GB"/>
        </w:rPr>
        <w:t xml:space="preserve">, </w:t>
      </w:r>
      <w:r w:rsidRPr="007F78BA">
        <w:rPr>
          <w:rFonts w:ascii="Times New Roman" w:hAnsi="Times New Roman" w:cs="Times New Roman"/>
          <w:sz w:val="20"/>
          <w:szCs w:val="20"/>
          <w:lang w:val="en-GB"/>
        </w:rPr>
        <w:t>Sexual Risk Behaviour (</w:t>
      </w:r>
      <w:proofErr w:type="gramStart"/>
      <w:r w:rsidRPr="007F78BA">
        <w:rPr>
          <w:rFonts w:ascii="Times New Roman" w:hAnsi="Times New Roman" w:cs="Times New Roman"/>
          <w:i/>
          <w:iCs/>
          <w:sz w:val="20"/>
          <w:szCs w:val="20"/>
          <w:lang w:val="en-GB"/>
        </w:rPr>
        <w:t>i.e.</w:t>
      </w:r>
      <w:proofErr w:type="gramEnd"/>
      <w:r w:rsidRPr="007F78BA">
        <w:rPr>
          <w:rFonts w:ascii="Times New Roman" w:hAnsi="Times New Roman" w:cs="Times New Roman"/>
          <w:sz w:val="20"/>
          <w:szCs w:val="20"/>
          <w:lang w:val="en-GB"/>
        </w:rPr>
        <w:t xml:space="preserve"> number of condomless non-steady sex partners in the previous 12 months), </w:t>
      </w:r>
      <w:r w:rsidRPr="007F78BA">
        <w:rPr>
          <w:rFonts w:ascii="Times New Roman" w:hAnsi="Times New Roman" w:cs="Times New Roman"/>
          <w:b/>
          <w:bCs/>
          <w:sz w:val="20"/>
          <w:szCs w:val="20"/>
          <w:lang w:val="en-GB"/>
        </w:rPr>
        <w:t>SU</w:t>
      </w:r>
      <w:r w:rsidRPr="007F78BA">
        <w:rPr>
          <w:rFonts w:ascii="Times New Roman" w:hAnsi="Times New Roman" w:cs="Times New Roman"/>
          <w:sz w:val="20"/>
          <w:szCs w:val="20"/>
          <w:lang w:val="en-GB"/>
        </w:rPr>
        <w:t xml:space="preserve">, substance use, </w:t>
      </w:r>
      <w:r w:rsidR="00E93EC1">
        <w:rPr>
          <w:rFonts w:ascii="Times New Roman" w:hAnsi="Times New Roman" w:cs="Times New Roman"/>
          <w:b/>
          <w:sz w:val="20"/>
          <w:szCs w:val="20"/>
          <w:lang w:val="en-GB"/>
        </w:rPr>
        <w:t>SUIS</w:t>
      </w:r>
      <w:r w:rsidRPr="007F78BA">
        <w:rPr>
          <w:rFonts w:ascii="Times New Roman" w:hAnsi="Times New Roman" w:cs="Times New Roman"/>
          <w:b/>
          <w:sz w:val="20"/>
          <w:szCs w:val="20"/>
          <w:lang w:val="en-GB"/>
        </w:rPr>
        <w:t>,</w:t>
      </w:r>
      <w:r w:rsidRPr="007F78BA">
        <w:rPr>
          <w:rFonts w:ascii="Times New Roman" w:hAnsi="Times New Roman" w:cs="Times New Roman"/>
          <w:sz w:val="20"/>
          <w:szCs w:val="20"/>
          <w:lang w:val="en-GB"/>
        </w:rPr>
        <w:t xml:space="preserve"> </w:t>
      </w:r>
      <w:r w:rsidR="00B617AA">
        <w:rPr>
          <w:rFonts w:ascii="Times New Roman" w:hAnsi="Times New Roman" w:cs="Times New Roman"/>
          <w:sz w:val="20"/>
          <w:szCs w:val="20"/>
          <w:lang w:val="en-GB"/>
        </w:rPr>
        <w:t>Sex under the influence of substances</w:t>
      </w:r>
      <w:r w:rsidRPr="007F78BA">
        <w:rPr>
          <w:rFonts w:ascii="Times New Roman" w:hAnsi="Times New Roman" w:cs="Times New Roman"/>
          <w:sz w:val="20"/>
          <w:szCs w:val="20"/>
          <w:lang w:val="en-GB"/>
        </w:rPr>
        <w:t>.</w:t>
      </w:r>
      <w:r w:rsidR="00A1425B" w:rsidRPr="007F78BA">
        <w:rPr>
          <w:rFonts w:ascii="Times New Roman" w:hAnsi="Times New Roman" w:cs="Times New Roman"/>
          <w:sz w:val="20"/>
          <w:szCs w:val="20"/>
          <w:lang w:val="en-GB"/>
        </w:rPr>
        <w:t xml:space="preserve"> </w:t>
      </w:r>
      <w:r w:rsidR="00A1425B" w:rsidRPr="007F78BA">
        <w:rPr>
          <w:rFonts w:ascii="Times New Roman" w:hAnsi="Times New Roman" w:cs="Times New Roman"/>
          <w:b/>
          <w:bCs/>
          <w:sz w:val="20"/>
          <w:szCs w:val="20"/>
          <w:lang w:val="en-GB"/>
        </w:rPr>
        <w:t xml:space="preserve">CFI, </w:t>
      </w:r>
      <w:r w:rsidR="00A1425B" w:rsidRPr="007F78BA">
        <w:rPr>
          <w:rFonts w:ascii="Times New Roman" w:hAnsi="Times New Roman" w:cs="Times New Roman"/>
          <w:bCs/>
          <w:sz w:val="20"/>
          <w:szCs w:val="20"/>
          <w:lang w:val="en-GB"/>
        </w:rPr>
        <w:t xml:space="preserve">Comparative Fit Index. </w:t>
      </w:r>
      <w:r w:rsidR="00A1425B" w:rsidRPr="007F78BA">
        <w:rPr>
          <w:rFonts w:ascii="Times New Roman" w:hAnsi="Times New Roman" w:cs="Times New Roman"/>
          <w:b/>
          <w:bCs/>
          <w:sz w:val="20"/>
          <w:szCs w:val="20"/>
          <w:lang w:val="en-GB"/>
        </w:rPr>
        <w:t xml:space="preserve">TLI, </w:t>
      </w:r>
      <w:r w:rsidR="00A1425B" w:rsidRPr="007F78BA">
        <w:rPr>
          <w:rFonts w:ascii="Times New Roman" w:hAnsi="Times New Roman" w:cs="Times New Roman"/>
          <w:bCs/>
          <w:sz w:val="20"/>
          <w:szCs w:val="20"/>
          <w:lang w:val="en-GB"/>
        </w:rPr>
        <w:t xml:space="preserve">Tucker-Lewis Index. </w:t>
      </w:r>
      <w:r w:rsidR="00A1425B" w:rsidRPr="007F78BA">
        <w:rPr>
          <w:rFonts w:ascii="Times New Roman" w:hAnsi="Times New Roman" w:cs="Times New Roman"/>
          <w:b/>
          <w:bCs/>
          <w:sz w:val="20"/>
          <w:szCs w:val="20"/>
          <w:lang w:val="en-GB"/>
        </w:rPr>
        <w:t xml:space="preserve">RMSEA, </w:t>
      </w:r>
      <w:r w:rsidR="00A1425B" w:rsidRPr="007F78BA">
        <w:rPr>
          <w:rFonts w:ascii="Times New Roman" w:hAnsi="Times New Roman" w:cs="Times New Roman"/>
          <w:bCs/>
          <w:sz w:val="20"/>
          <w:szCs w:val="20"/>
          <w:lang w:val="en-GB"/>
        </w:rPr>
        <w:t xml:space="preserve">Root Mean Square Error of Approximation. </w:t>
      </w:r>
      <w:r w:rsidR="00A1425B" w:rsidRPr="007F78BA">
        <w:rPr>
          <w:rFonts w:ascii="Times New Roman" w:hAnsi="Times New Roman" w:cs="Times New Roman"/>
          <w:b/>
          <w:bCs/>
          <w:sz w:val="20"/>
          <w:szCs w:val="20"/>
          <w:lang w:val="en-GB"/>
        </w:rPr>
        <w:t xml:space="preserve">SRMR, </w:t>
      </w:r>
      <w:r w:rsidR="00A1425B" w:rsidRPr="007F78BA">
        <w:rPr>
          <w:rFonts w:ascii="Times New Roman" w:hAnsi="Times New Roman" w:cs="Times New Roman"/>
          <w:bCs/>
          <w:sz w:val="20"/>
          <w:szCs w:val="20"/>
          <w:lang w:val="en-GB"/>
        </w:rPr>
        <w:t>Standardized Root Mean Square Residual.</w:t>
      </w:r>
      <w:r w:rsidR="00B91B52" w:rsidRPr="007F78BA">
        <w:rPr>
          <w:rFonts w:ascii="Times New Roman" w:hAnsi="Times New Roman" w:cs="Times New Roman"/>
          <w:bCs/>
          <w:sz w:val="20"/>
          <w:szCs w:val="20"/>
          <w:lang w:val="en-GB"/>
        </w:rPr>
        <w:t xml:space="preserve"> </w:t>
      </w:r>
      <w:r w:rsidR="00B91B52" w:rsidRPr="007F78BA">
        <w:rPr>
          <w:rFonts w:ascii="Times New Roman" w:hAnsi="Times New Roman" w:cs="Times New Roman"/>
          <w:b/>
          <w:bCs/>
          <w:sz w:val="20"/>
          <w:szCs w:val="20"/>
          <w:lang w:val="en-GB"/>
        </w:rPr>
        <w:t xml:space="preserve">DF, </w:t>
      </w:r>
      <w:r w:rsidR="00B91B52" w:rsidRPr="007F78BA">
        <w:rPr>
          <w:rFonts w:ascii="Times New Roman" w:hAnsi="Times New Roman" w:cs="Times New Roman"/>
          <w:bCs/>
          <w:sz w:val="20"/>
          <w:szCs w:val="20"/>
          <w:lang w:val="en-GB"/>
        </w:rPr>
        <w:t>Degrees of Freedom.</w:t>
      </w:r>
      <w:r w:rsidR="00A1425B" w:rsidRPr="007F78BA">
        <w:rPr>
          <w:rFonts w:ascii="Times New Roman" w:hAnsi="Times New Roman" w:cs="Times New Roman"/>
          <w:bCs/>
          <w:sz w:val="20"/>
          <w:szCs w:val="20"/>
          <w:lang w:val="en-GB"/>
        </w:rPr>
        <w:t xml:space="preserve"> </w:t>
      </w:r>
      <w:r w:rsidR="00B91B52" w:rsidRPr="007F78BA">
        <w:rPr>
          <w:rFonts w:ascii="Times New Roman" w:hAnsi="Times New Roman" w:cs="Times New Roman"/>
          <w:b/>
          <w:bCs/>
          <w:sz w:val="20"/>
          <w:szCs w:val="20"/>
          <w:lang w:val="en-GB"/>
        </w:rPr>
        <w:t xml:space="preserve">CI, </w:t>
      </w:r>
      <w:r w:rsidR="00B91B52" w:rsidRPr="007F78BA">
        <w:rPr>
          <w:rFonts w:ascii="Times New Roman" w:hAnsi="Times New Roman" w:cs="Times New Roman"/>
          <w:bCs/>
          <w:sz w:val="20"/>
          <w:szCs w:val="20"/>
          <w:lang w:val="en-GB"/>
        </w:rPr>
        <w:t xml:space="preserve">Confidence Interval. </w:t>
      </w:r>
    </w:p>
    <w:p w14:paraId="23F52B73" w14:textId="5E8CE44A" w:rsidR="00DC724C" w:rsidRPr="007F78BA" w:rsidRDefault="00DC724C">
      <w:pPr>
        <w:rPr>
          <w:rFonts w:ascii="Times New Roman" w:hAnsi="Times New Roman" w:cs="Times New Roman"/>
          <w:lang w:val="en-GB"/>
        </w:rPr>
      </w:pPr>
    </w:p>
    <w:p w14:paraId="750C7855" w14:textId="5CE466BD" w:rsidR="0060221E" w:rsidRPr="007F78BA" w:rsidRDefault="0093332A" w:rsidP="00462CA1">
      <w:pPr>
        <w:pStyle w:val="Overskrift1"/>
        <w:rPr>
          <w:lang w:val="en-GB"/>
        </w:rPr>
      </w:pPr>
      <w:r w:rsidRPr="007F78BA">
        <w:rPr>
          <w:lang w:val="en-GB"/>
        </w:rPr>
        <w:t>Discussion</w:t>
      </w:r>
      <w:r w:rsidR="00D95743" w:rsidRPr="007F78BA">
        <w:rPr>
          <w:lang w:val="en-GB"/>
        </w:rPr>
        <w:t xml:space="preserve"> </w:t>
      </w:r>
    </w:p>
    <w:p w14:paraId="016E74AB" w14:textId="4E022FCD" w:rsidR="00104188" w:rsidRPr="007F78BA" w:rsidRDefault="00855015" w:rsidP="007020A9">
      <w:pPr>
        <w:spacing w:line="276" w:lineRule="auto"/>
        <w:ind w:firstLine="720"/>
        <w:jc w:val="both"/>
        <w:rPr>
          <w:rFonts w:ascii="Times New Roman" w:eastAsia="Times New Roman" w:hAnsi="Times New Roman" w:cs="Times New Roman"/>
          <w:lang w:val="en-GB"/>
        </w:rPr>
      </w:pPr>
      <w:r w:rsidRPr="007F78BA">
        <w:rPr>
          <w:rFonts w:ascii="Times New Roman" w:eastAsia="Times New Roman" w:hAnsi="Times New Roman" w:cs="Times New Roman"/>
          <w:lang w:val="en-GB"/>
        </w:rPr>
        <w:t xml:space="preserve">In this study, we examined the relationship between IH and </w:t>
      </w:r>
      <w:r w:rsidR="007969BE">
        <w:rPr>
          <w:rFonts w:ascii="Times New Roman" w:eastAsia="Times New Roman" w:hAnsi="Times New Roman" w:cs="Times New Roman"/>
          <w:lang w:val="en-GB"/>
        </w:rPr>
        <w:t>SRB</w:t>
      </w:r>
      <w:r w:rsidRPr="007F78BA">
        <w:rPr>
          <w:rFonts w:ascii="Times New Roman" w:eastAsia="Times New Roman" w:hAnsi="Times New Roman" w:cs="Times New Roman"/>
          <w:lang w:val="en-GB"/>
        </w:rPr>
        <w:t>, and possible mediators of this relationship across sample</w:t>
      </w:r>
      <w:r w:rsidR="009A326E">
        <w:rPr>
          <w:rFonts w:ascii="Times New Roman" w:eastAsia="Times New Roman" w:hAnsi="Times New Roman" w:cs="Times New Roman"/>
          <w:lang w:val="en-GB"/>
        </w:rPr>
        <w:t>s</w:t>
      </w:r>
      <w:r w:rsidRPr="007F78BA">
        <w:rPr>
          <w:rFonts w:ascii="Times New Roman" w:eastAsia="Times New Roman" w:hAnsi="Times New Roman" w:cs="Times New Roman"/>
          <w:lang w:val="en-GB"/>
        </w:rPr>
        <w:t xml:space="preserve"> of MSM in Spain and Turkey. </w:t>
      </w:r>
      <w:r w:rsidR="009A326E">
        <w:rPr>
          <w:rFonts w:ascii="Times New Roman" w:eastAsia="Times New Roman" w:hAnsi="Times New Roman" w:cs="Times New Roman"/>
          <w:lang w:val="en-GB"/>
        </w:rPr>
        <w:t>Among MSM in</w:t>
      </w:r>
      <w:r w:rsidR="009A326E" w:rsidRPr="007F78BA">
        <w:rPr>
          <w:rFonts w:ascii="Times New Roman" w:eastAsia="Times New Roman" w:hAnsi="Times New Roman" w:cs="Times New Roman"/>
          <w:lang w:val="en-GB"/>
        </w:rPr>
        <w:t xml:space="preserve"> </w:t>
      </w:r>
      <w:r w:rsidR="00C46648" w:rsidRPr="007F78BA">
        <w:rPr>
          <w:rFonts w:ascii="Times New Roman" w:eastAsia="Times New Roman" w:hAnsi="Times New Roman" w:cs="Times New Roman"/>
          <w:lang w:val="en-GB"/>
        </w:rPr>
        <w:t>both</w:t>
      </w:r>
      <w:r w:rsidR="002A5CF5" w:rsidRPr="007F78BA">
        <w:rPr>
          <w:rFonts w:ascii="Times New Roman" w:eastAsia="Times New Roman" w:hAnsi="Times New Roman" w:cs="Times New Roman"/>
          <w:lang w:val="en-GB"/>
        </w:rPr>
        <w:t xml:space="preserve"> countries</w:t>
      </w:r>
      <w:r w:rsidR="00BD62C9" w:rsidRPr="007F78BA">
        <w:rPr>
          <w:rFonts w:ascii="Times New Roman" w:eastAsia="Times New Roman" w:hAnsi="Times New Roman" w:cs="Times New Roman"/>
          <w:lang w:val="en-GB"/>
        </w:rPr>
        <w:t xml:space="preserve">, </w:t>
      </w:r>
      <w:r w:rsidR="00C46648" w:rsidRPr="007F78BA">
        <w:rPr>
          <w:rFonts w:ascii="Times New Roman" w:eastAsia="Times New Roman" w:hAnsi="Times New Roman" w:cs="Times New Roman"/>
          <w:lang w:val="en-GB"/>
        </w:rPr>
        <w:t>we found no direct relationship between IH and SRB, which is consisten</w:t>
      </w:r>
      <w:r w:rsidR="009A326E">
        <w:rPr>
          <w:rFonts w:ascii="Times New Roman" w:eastAsia="Times New Roman" w:hAnsi="Times New Roman" w:cs="Times New Roman"/>
          <w:lang w:val="en-GB"/>
        </w:rPr>
        <w:t>t</w:t>
      </w:r>
      <w:r w:rsidR="00C46648" w:rsidRPr="007F78BA">
        <w:rPr>
          <w:rFonts w:ascii="Times New Roman" w:eastAsia="Times New Roman" w:hAnsi="Times New Roman" w:cs="Times New Roman"/>
          <w:lang w:val="en-GB"/>
        </w:rPr>
        <w:t xml:space="preserve"> with previous research </w:t>
      </w:r>
      <w:r w:rsidR="00C46648" w:rsidRPr="007F78BA">
        <w:rPr>
          <w:rFonts w:ascii="Times New Roman" w:eastAsia="Times New Roman" w:hAnsi="Times New Roman" w:cs="Times New Roman"/>
          <w:lang w:val="en-GB"/>
        </w:rPr>
        <w:fldChar w:fldCharType="begin"/>
      </w:r>
      <w:r w:rsidR="004B0D9E">
        <w:rPr>
          <w:rFonts w:ascii="Times New Roman" w:eastAsia="Times New Roman" w:hAnsi="Times New Roman" w:cs="Times New Roman"/>
          <w:lang w:val="en-GB"/>
        </w:rPr>
        <w:instrText xml:space="preserve"> ADDIN ZOTERO_ITEM CSL_CITATION {"citationID":"jzOhKb34","properties":{"formattedCitation":"(Dawson et al., 2019; Newcomb &amp; Mustanski, 2010b; Puckett et al., 2017b)","plainCitation":"(Dawson et al., 2019; Newcomb &amp; Mustanski, 2010b; Puckett et al., 2017b)","noteIndex":0},"citationItems":[{"id":748,"uris":["http://zotero.org/users/5061103/items/7TCL3Y5R"],"uri":["http://zotero.org/users/5061103/items/7TCL3Y5R"],"itemData":{"id":748,"type":"article-journal","abstract":"Background Black men who have sex with men, who account for less than 1% of the U.S. population, account for approximately 25% of new HIV infections annually. Condomless anal sex contributes to HIV infection among black men who have sex with men. The capacity to recover quickly from difficulties (resilience) may be protective against condomless anal sex, but has been understudied among black men who have sex with men. Psychosocial factors related to resilience, i.e., condom use self-efficacy and internalized homophobia, may also affect condomless anal sex. We assessed the association between resilience, condom use self-efficacy, internalized homophobia and condomless anal sex among black men who have sex with men.","container-title":"PLOS ONE","DOI":"10.1371/journal.pone.0215455","ISSN":"1932-6203","issue":"4","language":"en","page":"e0215455","source":"Crossref","title":"Resilience, condom use self-efficacy, internalized homophobia, and condomless anal sex among black men who have sex with men, New York City","volume":"14","author":[{"family":"Dawson","given":"Erica L."},{"family":"Mendoza","given":"Maria C. B."},{"family":"Gaul","given":"Zaneta"},{"family":"Jeffries IV","given":"William L."},{"family":"Sutton","given":"Madeline Y."},{"family":"Wilson","given":"Patrick A."}],"editor":[{"family":"Tieu","given":"Hong-Van"}],"issued":{"date-parts":[["2019",4,24]]}}},{"id":55,"uris":["http://zotero.org/users/5061103/items/9JDS525C"],"uri":["http://zotero.org/users/5061103/items/9JDS525C"],"itemData":{"id":55,"type":"article-journal","container-title":"Archives of Sexual Behavior","DOI":"10.1007/s10508-010-9655-7","ISSN":"0004-0002, 1573-2800","issue":"6","language":"en","page":"1209-1211","source":"Crossref","title":"The Importance of Measuring Internalized Homophobia/Homonegativity: Reply to Ross, Rosser, and Smolenski (2010a)","title-short":"The Importance of Measuring Internalized Homophobia/Homonegativity","volume":"39","author":[{"family":"Newcomb","given":"Michael E."},{"family":"Mustanski","given":"Brian"}],"issued":{"date-parts":[["2010",12]]}}},{"id":57,"uris":["http://zotero.org/users/5061103/items/KGHDLYP9"],"uri":["http://zotero.org/users/5061103/items/KGHDLYP9"],"itemData":{"id":57,"type":"article-journal","abstract":"Background Internalized homophobia (IH) is the internalization of homophobic attitudes by sexual minorities due to social bias. IH has been inconsistently related to substance use and condomless sex for young men who have sex with men (YMSM).","container-title":"Annals of Behavioral Medicine","DOI":"10.1007/s12160-017-9878-0","ISSN":"0883-6612, 1532-4796","issue":"4","language":"en","page":"567-577","source":"Crossref","title":"Examining the Conditions Under Which Internalized Homophobia Is Associated with Substance Use and Condomless Sex in Young MSM: the Moderating Role of Impulsivity","title-short":"Examining the Conditions Under Which Internalized Homophobia Is Associated with Substance Use and Condomless Sex in Young MSM","volume":"51","author":[{"family":"Puckett","given":"Jae A."},{"family":"Newcomb","given":"Michael E."},{"family":"Garofalo","given":"Robert"},{"family":"Mustanski","given":"Brian"}],"issued":{"date-parts":[["2017",8]]}}}],"schema":"https://github.com/citation-style-language/schema/raw/master/csl-citation.json"} </w:instrText>
      </w:r>
      <w:r w:rsidR="00C46648" w:rsidRPr="007F78BA">
        <w:rPr>
          <w:rFonts w:ascii="Times New Roman" w:eastAsia="Times New Roman" w:hAnsi="Times New Roman" w:cs="Times New Roman"/>
          <w:lang w:val="en-GB"/>
        </w:rPr>
        <w:fldChar w:fldCharType="separate"/>
      </w:r>
      <w:r w:rsidR="004B0D9E">
        <w:rPr>
          <w:rFonts w:ascii="Times New Roman" w:eastAsia="Times New Roman" w:hAnsi="Times New Roman" w:cs="Times New Roman"/>
          <w:lang w:val="en-GB"/>
        </w:rPr>
        <w:t>(Dawson et al., 2019; Newcomb &amp; Mustanski, 2010b; Puckett et al., 2017b)</w:t>
      </w:r>
      <w:r w:rsidR="00C46648" w:rsidRPr="007F78BA">
        <w:rPr>
          <w:rFonts w:ascii="Times New Roman" w:eastAsia="Times New Roman" w:hAnsi="Times New Roman" w:cs="Times New Roman"/>
          <w:lang w:val="en-GB"/>
        </w:rPr>
        <w:fldChar w:fldCharType="end"/>
      </w:r>
      <w:r w:rsidR="002A5CF5" w:rsidRPr="007F78BA">
        <w:rPr>
          <w:rFonts w:ascii="Times New Roman" w:eastAsia="Times New Roman" w:hAnsi="Times New Roman" w:cs="Times New Roman"/>
          <w:lang w:val="en-GB"/>
        </w:rPr>
        <w:t xml:space="preserve"> </w:t>
      </w:r>
      <w:r w:rsidR="009A326E">
        <w:rPr>
          <w:rFonts w:ascii="Times New Roman" w:eastAsia="Times New Roman" w:hAnsi="Times New Roman" w:cs="Times New Roman"/>
          <w:lang w:val="en-GB"/>
        </w:rPr>
        <w:t xml:space="preserve">and </w:t>
      </w:r>
      <w:r w:rsidR="002A5CF5" w:rsidRPr="007F78BA">
        <w:rPr>
          <w:rFonts w:ascii="Times New Roman" w:eastAsia="Times New Roman" w:hAnsi="Times New Roman" w:cs="Times New Roman"/>
          <w:lang w:val="en-GB"/>
        </w:rPr>
        <w:t>suggesti</w:t>
      </w:r>
      <w:r w:rsidR="009A326E">
        <w:rPr>
          <w:rFonts w:ascii="Times New Roman" w:eastAsia="Times New Roman" w:hAnsi="Times New Roman" w:cs="Times New Roman"/>
          <w:lang w:val="en-GB"/>
        </w:rPr>
        <w:t>ve</w:t>
      </w:r>
      <w:r w:rsidR="002A5CF5" w:rsidRPr="007F78BA">
        <w:rPr>
          <w:rFonts w:ascii="Times New Roman" w:eastAsia="Times New Roman" w:hAnsi="Times New Roman" w:cs="Times New Roman"/>
          <w:lang w:val="en-GB"/>
        </w:rPr>
        <w:t xml:space="preserve"> </w:t>
      </w:r>
      <w:r w:rsidR="009A326E">
        <w:rPr>
          <w:rFonts w:ascii="Times New Roman" w:eastAsia="Times New Roman" w:hAnsi="Times New Roman" w:cs="Times New Roman"/>
          <w:lang w:val="en-GB"/>
        </w:rPr>
        <w:t>of</w:t>
      </w:r>
      <w:r w:rsidR="002A5CF5" w:rsidRPr="007F78BA">
        <w:rPr>
          <w:rFonts w:ascii="Times New Roman" w:eastAsia="Times New Roman" w:hAnsi="Times New Roman" w:cs="Times New Roman"/>
          <w:lang w:val="en-GB"/>
        </w:rPr>
        <w:t xml:space="preserve"> </w:t>
      </w:r>
      <w:r w:rsidR="00500DC3">
        <w:rPr>
          <w:rFonts w:ascii="Times New Roman" w:eastAsia="Times New Roman" w:hAnsi="Times New Roman" w:cs="Times New Roman"/>
          <w:lang w:val="en-GB"/>
        </w:rPr>
        <w:t xml:space="preserve">there being </w:t>
      </w:r>
      <w:r w:rsidR="002A5CF5" w:rsidRPr="007F78BA">
        <w:rPr>
          <w:rFonts w:ascii="Times New Roman" w:eastAsia="Times New Roman" w:hAnsi="Times New Roman" w:cs="Times New Roman"/>
          <w:lang w:val="en-GB"/>
        </w:rPr>
        <w:t xml:space="preserve">potential mediators </w:t>
      </w:r>
      <w:r w:rsidR="009A326E">
        <w:rPr>
          <w:rFonts w:ascii="Times New Roman" w:eastAsia="Times New Roman" w:hAnsi="Times New Roman" w:cs="Times New Roman"/>
          <w:lang w:val="en-GB"/>
        </w:rPr>
        <w:t>on</w:t>
      </w:r>
      <w:r w:rsidR="009A326E" w:rsidRPr="007F78BA">
        <w:rPr>
          <w:rFonts w:ascii="Times New Roman" w:eastAsia="Times New Roman" w:hAnsi="Times New Roman" w:cs="Times New Roman"/>
          <w:lang w:val="en-GB"/>
        </w:rPr>
        <w:t xml:space="preserve"> </w:t>
      </w:r>
      <w:r w:rsidR="002A5CF5" w:rsidRPr="007F78BA">
        <w:rPr>
          <w:rFonts w:ascii="Times New Roman" w:eastAsia="Times New Roman" w:hAnsi="Times New Roman" w:cs="Times New Roman"/>
          <w:lang w:val="en-GB"/>
        </w:rPr>
        <w:t xml:space="preserve">this relationship </w:t>
      </w:r>
      <w:r w:rsidR="002A5CF5" w:rsidRPr="007F78BA">
        <w:rPr>
          <w:rFonts w:ascii="Times New Roman" w:eastAsia="Times New Roman" w:hAnsi="Times New Roman" w:cs="Times New Roman"/>
          <w:lang w:val="en-GB"/>
        </w:rPr>
        <w:fldChar w:fldCharType="begin"/>
      </w:r>
      <w:r w:rsidR="00F33597">
        <w:rPr>
          <w:rFonts w:ascii="Times New Roman" w:eastAsia="Times New Roman" w:hAnsi="Times New Roman" w:cs="Times New Roman"/>
          <w:lang w:val="en-GB"/>
        </w:rPr>
        <w:instrText xml:space="preserve"> ADDIN ZOTERO_ITEM CSL_CITATION {"citationID":"zpY7BikH","properties":{"formattedCitation":"(Kashubeck-West &amp; Szymanski, 2008; Newcomb &amp; Mustanski, 2010b)","plainCitation":"(Kashubeck-West &amp; Szymanski, 2008; Newcomb &amp; Mustanski, 2010b)","noteIndex":0},"citationItems":[{"id":314,"uris":["http://zotero.org/users/5061103/items/BDZND88T"],"uri":["http://zotero.org/users/5061103/items/BDZND88T"],"itemData":{"id":314,"type":"article-journal","container-title":"The Counseling Psychologist","DOI":"10.1177/0011000007309633","ISSN":"0011-0000, 1552-3861","issue":"4","language":"en","page":"595-614","source":"Crossref","title":"Risky Sexual Behavior in Gay and Bisexual Men: Internalized Heterosexism, Sensation Seeking, and Substance Use","title-short":"Risky Sexual Behavior in Gay and Bisexual Men","volume":"36","author":[{"family":"Kashubeck-West","given":"Susan"},{"family":"Szymanski","given":"Dawn M."}],"issued":{"date-parts":[["2008",7]]}}},{"id":55,"uris":["http://zotero.org/users/5061103/items/9JDS525C"],"uri":["http://zotero.org/users/5061103/items/9JDS525C"],"itemData":{"id":55,"type":"article-journal","container-title":"Archives of Sexual Behavior","DOI":"10.1007/s10508-010-9655-7","ISSN":"0004-0002, 1573-2800","issue":"6","language":"en","page":"1209-1211","source":"Crossref","title":"The Importance of Measuring Internalized Homophobia/Homonegativity: Reply to Ross, Rosser, and Smolenski (2010a)","title-short":"The Importance of Measuring Internalized Homophobia/Homonegativity","volume":"39","author":[{"family":"Newcomb","given":"Michael E."},{"family":"Mustanski","given":"Brian"}],"issued":{"date-parts":[["2010",12]]}}}],"schema":"https://github.com/citation-style-language/schema/raw/master/csl-citation.json"} </w:instrText>
      </w:r>
      <w:r w:rsidR="002A5CF5" w:rsidRPr="007F78BA">
        <w:rPr>
          <w:rFonts w:ascii="Times New Roman" w:eastAsia="Times New Roman" w:hAnsi="Times New Roman" w:cs="Times New Roman"/>
          <w:lang w:val="en-GB"/>
        </w:rPr>
        <w:fldChar w:fldCharType="separate"/>
      </w:r>
      <w:r w:rsidR="00F33597">
        <w:rPr>
          <w:rFonts w:ascii="Times New Roman" w:eastAsia="Times New Roman" w:hAnsi="Times New Roman" w:cs="Times New Roman"/>
          <w:lang w:val="en-GB"/>
        </w:rPr>
        <w:t>(Kashubeck-West &amp; Szymanski, 2008; Newcomb &amp; Mustanski, 2010b)</w:t>
      </w:r>
      <w:r w:rsidR="002A5CF5" w:rsidRPr="007F78BA">
        <w:rPr>
          <w:rFonts w:ascii="Times New Roman" w:eastAsia="Times New Roman" w:hAnsi="Times New Roman" w:cs="Times New Roman"/>
          <w:lang w:val="en-GB"/>
        </w:rPr>
        <w:fldChar w:fldCharType="end"/>
      </w:r>
      <w:r w:rsidR="002A5CF5" w:rsidRPr="007F78BA">
        <w:rPr>
          <w:rFonts w:ascii="Times New Roman" w:eastAsia="Times New Roman" w:hAnsi="Times New Roman" w:cs="Times New Roman"/>
          <w:lang w:val="en-GB"/>
        </w:rPr>
        <w:t xml:space="preserve">. </w:t>
      </w:r>
      <w:r w:rsidR="004F473D" w:rsidRPr="007F78BA">
        <w:rPr>
          <w:rFonts w:ascii="Times New Roman" w:eastAsia="Times New Roman" w:hAnsi="Times New Roman" w:cs="Times New Roman"/>
          <w:lang w:val="en-GB"/>
        </w:rPr>
        <w:t>While HIV/</w:t>
      </w:r>
      <w:proofErr w:type="spellStart"/>
      <w:r w:rsidR="004F473D" w:rsidRPr="007F78BA">
        <w:rPr>
          <w:rFonts w:ascii="Times New Roman" w:eastAsia="Times New Roman" w:hAnsi="Times New Roman" w:cs="Times New Roman"/>
          <w:lang w:val="en-GB"/>
        </w:rPr>
        <w:t>PrEP</w:t>
      </w:r>
      <w:proofErr w:type="spellEnd"/>
      <w:r w:rsidR="004F473D" w:rsidRPr="007F78BA">
        <w:rPr>
          <w:rFonts w:ascii="Times New Roman" w:eastAsia="Times New Roman" w:hAnsi="Times New Roman" w:cs="Times New Roman"/>
          <w:lang w:val="en-GB"/>
        </w:rPr>
        <w:t xml:space="preserve"> knowledge mediated the relationship between IH and SRB for Spain, we did not find evidence of mediation for Turkey. For both countries, </w:t>
      </w:r>
      <w:r w:rsidR="00E93EC1">
        <w:rPr>
          <w:rFonts w:ascii="Times New Roman" w:eastAsia="Times New Roman" w:hAnsi="Times New Roman" w:cs="Times New Roman"/>
          <w:lang w:val="en-GB"/>
        </w:rPr>
        <w:t>SUIS</w:t>
      </w:r>
      <w:r w:rsidR="004F473D" w:rsidRPr="007F78BA">
        <w:rPr>
          <w:rFonts w:ascii="Times New Roman" w:eastAsia="Times New Roman" w:hAnsi="Times New Roman" w:cs="Times New Roman"/>
          <w:lang w:val="en-GB"/>
        </w:rPr>
        <w:t xml:space="preserve"> was not a significant mediator of the relationship between IH and SRB, but </w:t>
      </w:r>
      <w:r w:rsidR="009A326E">
        <w:rPr>
          <w:rFonts w:ascii="Times New Roman" w:eastAsia="Times New Roman" w:hAnsi="Times New Roman" w:cs="Times New Roman"/>
          <w:lang w:val="en-GB"/>
        </w:rPr>
        <w:t xml:space="preserve">substance use </w:t>
      </w:r>
      <w:r w:rsidR="004F473D" w:rsidRPr="007F78BA">
        <w:rPr>
          <w:rFonts w:ascii="Times New Roman" w:eastAsia="Times New Roman" w:hAnsi="Times New Roman" w:cs="Times New Roman"/>
          <w:lang w:val="en-GB"/>
        </w:rPr>
        <w:t xml:space="preserve">significantly mediated the relationship between IH and </w:t>
      </w:r>
      <w:r w:rsidR="00E93EC1">
        <w:rPr>
          <w:rFonts w:ascii="Times New Roman" w:eastAsia="Times New Roman" w:hAnsi="Times New Roman" w:cs="Times New Roman"/>
          <w:lang w:val="en-GB"/>
        </w:rPr>
        <w:t>SUIS</w:t>
      </w:r>
      <w:r w:rsidR="004F473D" w:rsidRPr="007F78BA">
        <w:rPr>
          <w:rFonts w:ascii="Times New Roman" w:eastAsia="Times New Roman" w:hAnsi="Times New Roman" w:cs="Times New Roman"/>
          <w:lang w:val="en-GB"/>
        </w:rPr>
        <w:t xml:space="preserve">. </w:t>
      </w:r>
    </w:p>
    <w:p w14:paraId="3A6E5639" w14:textId="0D506175" w:rsidR="00104188" w:rsidRPr="007F78BA" w:rsidRDefault="00BD62C9">
      <w:pPr>
        <w:spacing w:line="276" w:lineRule="auto"/>
        <w:ind w:firstLine="720"/>
        <w:jc w:val="both"/>
        <w:rPr>
          <w:rFonts w:ascii="Times New Roman" w:eastAsia="Times New Roman" w:hAnsi="Times New Roman" w:cs="Times New Roman"/>
          <w:lang w:val="en-GB"/>
        </w:rPr>
      </w:pPr>
      <w:r w:rsidRPr="007F78BA">
        <w:rPr>
          <w:rFonts w:ascii="Times New Roman" w:eastAsia="Times New Roman" w:hAnsi="Times New Roman" w:cs="Times New Roman"/>
          <w:lang w:val="en-GB"/>
        </w:rPr>
        <w:t xml:space="preserve">We found that, for both </w:t>
      </w:r>
      <w:r w:rsidR="005A189E" w:rsidRPr="007F78BA">
        <w:rPr>
          <w:rFonts w:ascii="Times New Roman" w:eastAsia="Times New Roman" w:hAnsi="Times New Roman" w:cs="Times New Roman"/>
          <w:lang w:val="en-GB"/>
        </w:rPr>
        <w:t>countries</w:t>
      </w:r>
      <w:r w:rsidRPr="007F78BA">
        <w:rPr>
          <w:rFonts w:ascii="Times New Roman" w:eastAsia="Times New Roman" w:hAnsi="Times New Roman" w:cs="Times New Roman"/>
          <w:lang w:val="en-GB"/>
        </w:rPr>
        <w:t>, higher IH was associated with reduced HIV/</w:t>
      </w:r>
      <w:proofErr w:type="spellStart"/>
      <w:r w:rsidRPr="007F78BA">
        <w:rPr>
          <w:rFonts w:ascii="Times New Roman" w:eastAsia="Times New Roman" w:hAnsi="Times New Roman" w:cs="Times New Roman"/>
          <w:lang w:val="en-GB"/>
        </w:rPr>
        <w:t>PrEP</w:t>
      </w:r>
      <w:proofErr w:type="spellEnd"/>
      <w:r w:rsidRPr="007F78BA">
        <w:rPr>
          <w:rFonts w:ascii="Times New Roman" w:eastAsia="Times New Roman" w:hAnsi="Times New Roman" w:cs="Times New Roman"/>
          <w:lang w:val="en-GB"/>
        </w:rPr>
        <w:t xml:space="preserve"> knowledge. </w:t>
      </w:r>
      <w:r w:rsidR="009A326E">
        <w:rPr>
          <w:rFonts w:ascii="Times New Roman" w:eastAsia="Times New Roman" w:hAnsi="Times New Roman" w:cs="Times New Roman"/>
          <w:lang w:val="en-GB"/>
        </w:rPr>
        <w:t>That is</w:t>
      </w:r>
      <w:r w:rsidR="005A189E" w:rsidRPr="007F78BA">
        <w:rPr>
          <w:rFonts w:ascii="Times New Roman" w:eastAsia="Times New Roman" w:hAnsi="Times New Roman" w:cs="Times New Roman"/>
          <w:lang w:val="en-GB"/>
        </w:rPr>
        <w:t xml:space="preserve">, MSM </w:t>
      </w:r>
      <w:r w:rsidR="009A326E">
        <w:rPr>
          <w:rFonts w:ascii="Times New Roman" w:eastAsia="Times New Roman" w:hAnsi="Times New Roman" w:cs="Times New Roman"/>
          <w:lang w:val="en-GB"/>
        </w:rPr>
        <w:t xml:space="preserve">with </w:t>
      </w:r>
      <w:r w:rsidR="005A189E" w:rsidRPr="007F78BA">
        <w:rPr>
          <w:rFonts w:ascii="Times New Roman" w:eastAsia="Times New Roman" w:hAnsi="Times New Roman" w:cs="Times New Roman"/>
          <w:lang w:val="en-GB"/>
        </w:rPr>
        <w:t xml:space="preserve">higher IH were less likely to be knowledgeable about HIV and </w:t>
      </w:r>
      <w:proofErr w:type="spellStart"/>
      <w:r w:rsidR="005A189E" w:rsidRPr="007F78BA">
        <w:rPr>
          <w:rFonts w:ascii="Times New Roman" w:eastAsia="Times New Roman" w:hAnsi="Times New Roman" w:cs="Times New Roman"/>
          <w:lang w:val="en-GB"/>
        </w:rPr>
        <w:t>PrEP.</w:t>
      </w:r>
      <w:proofErr w:type="spellEnd"/>
      <w:r w:rsidR="005A189E" w:rsidRPr="007F78BA">
        <w:rPr>
          <w:rFonts w:ascii="Times New Roman" w:eastAsia="Times New Roman" w:hAnsi="Times New Roman" w:cs="Times New Roman"/>
          <w:lang w:val="en-GB"/>
        </w:rPr>
        <w:t xml:space="preserve"> This finding </w:t>
      </w:r>
      <w:r w:rsidR="009A326E">
        <w:rPr>
          <w:rFonts w:ascii="Times New Roman" w:eastAsia="Times New Roman" w:hAnsi="Times New Roman" w:cs="Times New Roman"/>
          <w:lang w:val="en-GB"/>
        </w:rPr>
        <w:t>is consistent with</w:t>
      </w:r>
      <w:r w:rsidR="005A189E" w:rsidRPr="007F78BA">
        <w:rPr>
          <w:rFonts w:ascii="Times New Roman" w:eastAsia="Times New Roman" w:hAnsi="Times New Roman" w:cs="Times New Roman"/>
          <w:lang w:val="en-GB"/>
        </w:rPr>
        <w:t xml:space="preserve"> previous studies documenting that IH can reduce awareness of information related to MSM’s sexual health. </w:t>
      </w:r>
      <w:r w:rsidR="004B1E81">
        <w:rPr>
          <w:rFonts w:ascii="Times New Roman" w:eastAsia="Times New Roman" w:hAnsi="Times New Roman" w:cs="Times New Roman"/>
          <w:lang w:val="en-GB"/>
        </w:rPr>
        <w:t>L</w:t>
      </w:r>
      <w:r w:rsidR="009A326E" w:rsidRPr="007F78BA">
        <w:rPr>
          <w:rFonts w:ascii="Times New Roman" w:eastAsia="Times New Roman" w:hAnsi="Times New Roman" w:cs="Times New Roman"/>
          <w:lang w:val="en-GB"/>
        </w:rPr>
        <w:t xml:space="preserve">ower IH </w:t>
      </w:r>
      <w:r w:rsidR="004B1E81">
        <w:rPr>
          <w:rFonts w:ascii="Times New Roman" w:eastAsia="Times New Roman" w:hAnsi="Times New Roman" w:cs="Times New Roman"/>
          <w:lang w:val="en-GB"/>
        </w:rPr>
        <w:t>has been found to be</w:t>
      </w:r>
      <w:r w:rsidR="009A326E" w:rsidRPr="007F78BA">
        <w:rPr>
          <w:rFonts w:ascii="Times New Roman" w:eastAsia="Times New Roman" w:hAnsi="Times New Roman" w:cs="Times New Roman"/>
          <w:lang w:val="en-GB"/>
        </w:rPr>
        <w:t xml:space="preserve"> a predictor of greater sexual identity certainty among gay men </w:t>
      </w:r>
      <w:r w:rsidR="009A326E" w:rsidRPr="007F78BA">
        <w:rPr>
          <w:rFonts w:ascii="Times New Roman" w:eastAsia="Times New Roman" w:hAnsi="Times New Roman" w:cs="Times New Roman"/>
          <w:lang w:val="en-GB"/>
        </w:rPr>
        <w:fldChar w:fldCharType="begin"/>
      </w:r>
      <w:r w:rsidR="009A326E" w:rsidRPr="007F78BA">
        <w:rPr>
          <w:rFonts w:ascii="Times New Roman" w:eastAsia="Times New Roman" w:hAnsi="Times New Roman" w:cs="Times New Roman"/>
          <w:lang w:val="en-GB"/>
        </w:rPr>
        <w:instrText xml:space="preserve"> ADDIN ZOTERO_ITEM CSL_CITATION {"citationID":"h6M8zjRd","properties":{"formattedCitation":"(Morandini et al., 2015)","plainCitation":"(Morandini et al., 2015)","noteIndex":0},"citationItems":[{"id":1676,"uris":["http://zotero.org/users/5061103/items/ITY6ERNI"],"uri":["http://zotero.org/users/5061103/items/ITY6ERNI"],"itemData":{"id":1676,"type":"article-journal","abstract":"The present study examined essentialist beliefs about sexual orientation and their implications for sexual identity uncertainty, internalized homonegativity and psychological wellbeing in a sample of gay men. A combination of targeted sampling and snowball strategies were used to recruit 639 gay identifying men for a cross-sectional online survey. Participants completed a questionnaire assessing sexual orientation beliefs, sexual identity uncertainty, internalized homonegativity, and psychological wellbeing outcomes. Structural equation modeling was used to test whether essentialist beliefs were associated with psychological wellbeing indirectly via their effect on sexual identity uncertainty and internalized homonegativity. A unique pattern of direct and indirect effects was observed in which facets of essentialism predicted sexual identity uncertainty, internalized homonegativity and psychological wellbeing. Of note, viewing sexual orientation as immutable/biologically based and as existing in discrete categories, were associated with less sexual identity uncertainty. On the other hand, these beliefs had divergent relationships with internalized homonegativity, with immutability/biological beliefs associated with lower, and discreteness beliefs associated with greater internalized homonegativity. Of interest, although sexual identity uncertainty was associated with poorer psychological wellbeing via its contribution to internalized homophobia, there was no direct relationship between identity uncertainty and psychological wellbeing. Findings indicate that essentializing sexual orientation has mixed implications for sexual identity uncertainty and internalized homonegativity and wellbeing in gay men. Those undertaking educational and clinical interventions with gay men should be aware of the benefits and of caveats of essentialist theories of homosexuality for this population.","container-title":"Journal of Counseling Psychology","DOI":"10.1037/cou0000072","ISSN":"1939-2168, 0022-0167","issue":"3","journalAbbreviation":"Journal of Counseling Psychology","language":"en","page":"413-424","source":"DOI.org (Crossref)","title":"Essentialist beliefs, sexual identity uncertainty, internalized homonegativity and psychological wellbeing in gay men.","volume":"62","author":[{"family":"Morandini","given":"James S."},{"family":"Blaszczynski","given":"Alexander"},{"family":"Ross","given":"Michael W."},{"family":"Costa","given":"Daniel S. J."},{"family":"Dar-Nimrod","given":"Ilan"}],"issued":{"date-parts":[["2015",7]]}}}],"schema":"https://github.com/citation-style-language/schema/raw/master/csl-citation.json"} </w:instrText>
      </w:r>
      <w:r w:rsidR="009A326E" w:rsidRPr="007F78BA">
        <w:rPr>
          <w:rFonts w:ascii="Times New Roman" w:eastAsia="Times New Roman" w:hAnsi="Times New Roman" w:cs="Times New Roman"/>
          <w:lang w:val="en-GB"/>
        </w:rPr>
        <w:fldChar w:fldCharType="separate"/>
      </w:r>
      <w:r w:rsidR="009A326E" w:rsidRPr="007F78BA">
        <w:rPr>
          <w:rFonts w:ascii="Times New Roman" w:eastAsia="Times New Roman" w:hAnsi="Times New Roman" w:cs="Times New Roman"/>
          <w:lang w:val="en-GB"/>
        </w:rPr>
        <w:t>(Morandini et al., 2015)</w:t>
      </w:r>
      <w:r w:rsidR="009A326E" w:rsidRPr="007F78BA">
        <w:rPr>
          <w:rFonts w:ascii="Times New Roman" w:eastAsia="Times New Roman" w:hAnsi="Times New Roman" w:cs="Times New Roman"/>
          <w:lang w:val="en-GB"/>
        </w:rPr>
        <w:fldChar w:fldCharType="end"/>
      </w:r>
      <w:r w:rsidR="004B1E81">
        <w:rPr>
          <w:rFonts w:ascii="Times New Roman" w:eastAsia="Times New Roman" w:hAnsi="Times New Roman" w:cs="Times New Roman"/>
          <w:lang w:val="en-GB"/>
        </w:rPr>
        <w:t xml:space="preserve">, and because </w:t>
      </w:r>
      <w:r w:rsidR="004B1E81" w:rsidRPr="007F78BA">
        <w:rPr>
          <w:rFonts w:ascii="Times New Roman" w:eastAsia="Times New Roman" w:hAnsi="Times New Roman" w:cs="Times New Roman"/>
          <w:lang w:val="en-GB"/>
        </w:rPr>
        <w:t xml:space="preserve">IH can hinder gay men’s connection to </w:t>
      </w:r>
      <w:r w:rsidR="004B1E81">
        <w:rPr>
          <w:rFonts w:ascii="Times New Roman" w:eastAsia="Times New Roman" w:hAnsi="Times New Roman" w:cs="Times New Roman"/>
          <w:lang w:val="en-GB"/>
        </w:rPr>
        <w:t xml:space="preserve">and involvement in </w:t>
      </w:r>
      <w:r w:rsidR="004B1E81" w:rsidRPr="007F78BA">
        <w:rPr>
          <w:rFonts w:ascii="Times New Roman" w:eastAsia="Times New Roman" w:hAnsi="Times New Roman" w:cs="Times New Roman"/>
          <w:lang w:val="en-GB"/>
        </w:rPr>
        <w:t>the gay community</w:t>
      </w:r>
      <w:r w:rsidR="004B1E81">
        <w:rPr>
          <w:rFonts w:ascii="Times New Roman" w:eastAsia="Times New Roman" w:hAnsi="Times New Roman" w:cs="Times New Roman"/>
          <w:lang w:val="en-GB"/>
        </w:rPr>
        <w:t xml:space="preserve"> </w:t>
      </w:r>
      <w:r w:rsidR="004B1E81" w:rsidRPr="007F78BA">
        <w:rPr>
          <w:rFonts w:ascii="Times New Roman" w:eastAsia="Times New Roman" w:hAnsi="Times New Roman" w:cs="Times New Roman"/>
          <w:lang w:val="en-GB"/>
        </w:rPr>
        <w:fldChar w:fldCharType="begin"/>
      </w:r>
      <w:r w:rsidR="004B1E81" w:rsidRPr="007F78BA">
        <w:rPr>
          <w:rFonts w:ascii="Times New Roman" w:eastAsia="Times New Roman" w:hAnsi="Times New Roman" w:cs="Times New Roman"/>
          <w:lang w:val="en-GB"/>
        </w:rPr>
        <w:instrText xml:space="preserve"> ADDIN ZOTERO_ITEM CSL_CITATION {"citationID":"AegOR4Nv","properties":{"formattedCitation":"(Goldbach et al., 2015; Moody et al., 2018)","plainCitation":"(Goldbach et al., 2015; Moody et al., 2018)","noteIndex":0},"citationItems":[{"id":1555,"uris":["http://zotero.org/users/5061103/items/3PZKCWBZ"],"uri":["http://zotero.org/users/5061103/items/3PZKCWBZ"],"itemData":{"id":1555,"type":"article-journal","abstract":"Previous research indicates that lesbian, gay, and bisexual (LGB) adolescents are at increased risk for substance use, including heightened rates of marijuana use. Minority stress theory suggests that difﬁcult social situations create a state of chronic stress that leads to poor health outcomes for LGB adults; however, the applicability of this model has not been well explored in relation to substance use among LGB adolescents. The current study is a secondary analysis of the OutProud survey, conducted in 2000. The original study used purposive sampling to collect data from 1,911 LGB adolescents (age 12–17) across the United States, and represents the largest known study to explore experiences speciﬁc to identifying as LGB, such as homophobia and gay-related victimization. We used structural equation modeling (SEM) to explore the feasibility of applying a minority stress framework to understand marijuana use in this population. The ﬁnal structural model for marijuana use in the LGB adolescent sample displayed excellent ﬁt and modest explanatory power for marijuana use. Two of the ﬁve factors, community connectedness and internalized homophobia, were signiﬁcantly (p &lt; .05) associated with marijuana use. Findings suggest that minority stress theory may be appropriately applied to marijuana use in this population; however, better measurement of minority stress concepts for LGB adolescents is needed.","container-title":"Substance Use &amp; Misuse","DOI":"10.3109/10826084.2014.980958","ISSN":"1082-6084, 1532-2491","issue":"3","journalAbbreviation":"Substance Use &amp; Misuse","language":"en","page":"366-375","source":"DOI.org (Crossref)","title":"The Application of Minority Stress Theory to Marijuana Use Among Sexual Minority Adolescents","volume":"50","author":[{"family":"Goldbach","given":"Jeremy T."},{"family":"Schrager","given":"Sheree M."},{"family":"Dunlap","given":"Shannon L."},{"family":"Holloway","given":"Ian W."}],"issued":{"date-parts":[["2015",2,23]]}}},{"id":10,"uris":["http://zotero.org/users/5061103/items/SDKBIWWS"],"uri":["http://zotero.org/users/5061103/items/SDKBIWWS"],"itemData":{"id":10,"type":"article-journal","container-title":"Archives of Sexual Behavior","DOI":"10.1007/s10508-017-1009-2","ISSN":"0004-0002, 1573-2800","issue":"4","journalAbbreviation":"Arch Sex Behav","language":"en","page":"1133-1144","source":"DOI.org (Crossref)","title":"Internalized Homophobia and Drug Use in a National Cohort of Gay and Bisexual Men: Examining Depression, Sexual Anxiety, and Gay Community Attachment as Mediating Factors","title-short":"Internalized Homophobia and Drug Use in a National Cohort of Gay and Bisexual Men","volume":"47","author":[{"family":"Moody","given":"Raymond L."},{"family":"Starks","given":"Tyrel J."},{"family":"Grov","given":"Christian"},{"family":"Parsons","given":"Jeffrey T."}],"issued":{"date-parts":[["2018",5]]}}}],"schema":"https://github.com/citation-style-language/schema/raw/master/csl-citation.json"} </w:instrText>
      </w:r>
      <w:r w:rsidR="004B1E81" w:rsidRPr="007F78BA">
        <w:rPr>
          <w:rFonts w:ascii="Times New Roman" w:eastAsia="Times New Roman" w:hAnsi="Times New Roman" w:cs="Times New Roman"/>
          <w:lang w:val="en-GB"/>
        </w:rPr>
        <w:fldChar w:fldCharType="separate"/>
      </w:r>
      <w:r w:rsidR="004B1E81" w:rsidRPr="007F78BA">
        <w:rPr>
          <w:rFonts w:ascii="Times New Roman" w:eastAsia="Times New Roman" w:hAnsi="Times New Roman" w:cs="Times New Roman"/>
          <w:lang w:val="en-GB"/>
        </w:rPr>
        <w:t>(Goldbach et al., 2015; Moody et al., 2018)</w:t>
      </w:r>
      <w:r w:rsidR="004B1E81" w:rsidRPr="007F78BA">
        <w:rPr>
          <w:rFonts w:ascii="Times New Roman" w:eastAsia="Times New Roman" w:hAnsi="Times New Roman" w:cs="Times New Roman"/>
          <w:lang w:val="en-GB"/>
        </w:rPr>
        <w:fldChar w:fldCharType="end"/>
      </w:r>
      <w:r w:rsidR="004B1E81" w:rsidRPr="007F78BA">
        <w:rPr>
          <w:rFonts w:ascii="Times New Roman" w:eastAsia="Times New Roman" w:hAnsi="Times New Roman" w:cs="Times New Roman"/>
          <w:lang w:val="en-GB"/>
        </w:rPr>
        <w:t xml:space="preserve">, </w:t>
      </w:r>
      <w:r w:rsidR="004B1E81">
        <w:rPr>
          <w:rFonts w:ascii="Times New Roman" w:eastAsia="Times New Roman" w:hAnsi="Times New Roman" w:cs="Times New Roman"/>
          <w:lang w:val="en-GB"/>
        </w:rPr>
        <w:t>it may limit their</w:t>
      </w:r>
      <w:r w:rsidR="004B1E81" w:rsidRPr="007F78BA">
        <w:rPr>
          <w:rFonts w:ascii="Times New Roman" w:eastAsia="Times New Roman" w:hAnsi="Times New Roman" w:cs="Times New Roman"/>
          <w:lang w:val="en-GB"/>
        </w:rPr>
        <w:t xml:space="preserve"> exposure to HIV/</w:t>
      </w:r>
      <w:proofErr w:type="spellStart"/>
      <w:r w:rsidR="004B1E81" w:rsidRPr="007F78BA">
        <w:rPr>
          <w:rFonts w:ascii="Times New Roman" w:eastAsia="Times New Roman" w:hAnsi="Times New Roman" w:cs="Times New Roman"/>
          <w:lang w:val="en-GB"/>
        </w:rPr>
        <w:t>PrEP</w:t>
      </w:r>
      <w:proofErr w:type="spellEnd"/>
      <w:r w:rsidR="004B1E81" w:rsidRPr="007F78BA">
        <w:rPr>
          <w:rFonts w:ascii="Times New Roman" w:eastAsia="Times New Roman" w:hAnsi="Times New Roman" w:cs="Times New Roman"/>
          <w:lang w:val="en-GB"/>
        </w:rPr>
        <w:t xml:space="preserve"> knowledge. </w:t>
      </w:r>
      <w:r w:rsidR="00500DC3">
        <w:rPr>
          <w:rFonts w:ascii="Times New Roman" w:eastAsia="Times New Roman" w:hAnsi="Times New Roman" w:cs="Times New Roman"/>
          <w:lang w:val="en-GB"/>
        </w:rPr>
        <w:t>G</w:t>
      </w:r>
      <w:r w:rsidR="00375D3B" w:rsidRPr="007F78BA">
        <w:rPr>
          <w:rFonts w:ascii="Times New Roman" w:eastAsia="Times New Roman" w:hAnsi="Times New Roman" w:cs="Times New Roman"/>
          <w:lang w:val="en-GB"/>
        </w:rPr>
        <w:t>ay communit</w:t>
      </w:r>
      <w:r w:rsidR="00500DC3">
        <w:rPr>
          <w:rFonts w:ascii="Times New Roman" w:eastAsia="Times New Roman" w:hAnsi="Times New Roman" w:cs="Times New Roman"/>
          <w:lang w:val="en-GB"/>
        </w:rPr>
        <w:t>ies</w:t>
      </w:r>
      <w:r w:rsidR="00375D3B" w:rsidRPr="007F78BA">
        <w:rPr>
          <w:rFonts w:ascii="Times New Roman" w:eastAsia="Times New Roman" w:hAnsi="Times New Roman" w:cs="Times New Roman"/>
          <w:lang w:val="en-GB"/>
        </w:rPr>
        <w:t xml:space="preserve"> and venues are where the targeted information is available for gay and bisexual men </w:t>
      </w:r>
      <w:r w:rsidR="004B1E81" w:rsidRPr="007F78BA">
        <w:rPr>
          <w:rFonts w:ascii="Times New Roman" w:eastAsia="Times New Roman" w:hAnsi="Times New Roman" w:cs="Times New Roman"/>
          <w:lang w:val="en-GB"/>
        </w:rPr>
        <w:fldChar w:fldCharType="begin"/>
      </w:r>
      <w:r w:rsidR="004B1E81" w:rsidRPr="007F78BA">
        <w:rPr>
          <w:rFonts w:ascii="Times New Roman" w:eastAsia="Times New Roman" w:hAnsi="Times New Roman" w:cs="Times New Roman"/>
          <w:lang w:val="en-GB"/>
        </w:rPr>
        <w:instrText xml:space="preserve"> ADDIN ZOTERO_ITEM CSL_CITATION {"citationID":"0CUFmH3P","properties":{"formattedCitation":"(Williamson, 2000)","plainCitation":"(Williamson, 2000)","noteIndex":0},"citationItems":[{"id":556,"uris":["http://zotero.org/users/5061103/items/JJU2YZJV"],"uri":["http://zotero.org/users/5061103/items/JJU2YZJV"],"itemData":{"id":556,"type":"article-journal","abstract":"This paper investigates the concept of internalized homophobia in both theory and research relating to lesbian and gay health. It offers a contemporary and critical review of research in this area, and discusses a range of recent ﬁndings relating to a range of health issues including HIV and AIDS. Whilst the concept has a resonance for gay men and lesbians, and is widely used in ‘lesbian and gay-afﬁrmative’ interventions, the paper demonstrates that research ﬁndings have been equivocal and the term is often used without full consideration of its sociopolitical consequences. The paper concludes that the concept does have a valuable role to play in health promotion work with lesbians and gay men but invites further discussion and examination of the construct.","container-title":"Health Education Research","DOI":"10.1093/her/15.1.97","ISSN":"14653648","issue":"1","language":"en","page":"97-107","source":"Crossref","title":"Internalized homophobia and health issues affecting lesbians and gay men","volume":"15","author":[{"family":"Williamson","given":"I. R."}],"issued":{"date-parts":[["2000",2,1]]}}}],"schema":"https://github.com/citation-style-language/schema/raw/master/csl-citation.json"} </w:instrText>
      </w:r>
      <w:r w:rsidR="004B1E81" w:rsidRPr="007F78BA">
        <w:rPr>
          <w:rFonts w:ascii="Times New Roman" w:eastAsia="Times New Roman" w:hAnsi="Times New Roman" w:cs="Times New Roman"/>
          <w:lang w:val="en-GB"/>
        </w:rPr>
        <w:fldChar w:fldCharType="separate"/>
      </w:r>
      <w:r w:rsidR="004B1E81" w:rsidRPr="007F78BA">
        <w:rPr>
          <w:rFonts w:ascii="Times New Roman" w:eastAsia="Times New Roman" w:hAnsi="Times New Roman" w:cs="Times New Roman"/>
          <w:lang w:val="en-GB"/>
        </w:rPr>
        <w:t>(Williamson, 2000)</w:t>
      </w:r>
      <w:r w:rsidR="004B1E81" w:rsidRPr="007F78BA">
        <w:rPr>
          <w:rFonts w:ascii="Times New Roman" w:eastAsia="Times New Roman" w:hAnsi="Times New Roman" w:cs="Times New Roman"/>
          <w:lang w:val="en-GB"/>
        </w:rPr>
        <w:fldChar w:fldCharType="end"/>
      </w:r>
      <w:r w:rsidR="00500DC3">
        <w:rPr>
          <w:rFonts w:ascii="Times New Roman" w:eastAsia="Times New Roman" w:hAnsi="Times New Roman" w:cs="Times New Roman"/>
          <w:lang w:val="en-GB"/>
        </w:rPr>
        <w:t>.</w:t>
      </w:r>
      <w:r w:rsidR="00375D3B" w:rsidRPr="007F78BA">
        <w:rPr>
          <w:rFonts w:ascii="Times New Roman" w:eastAsia="Times New Roman" w:hAnsi="Times New Roman" w:cs="Times New Roman"/>
          <w:lang w:val="en-GB"/>
        </w:rPr>
        <w:t xml:space="preserve"> </w:t>
      </w:r>
      <w:r w:rsidR="00846E15" w:rsidRPr="007F78BA">
        <w:rPr>
          <w:rFonts w:ascii="Times New Roman" w:eastAsia="Times New Roman" w:hAnsi="Times New Roman" w:cs="Times New Roman"/>
          <w:lang w:val="en-GB"/>
        </w:rPr>
        <w:t>It is also wort</w:t>
      </w:r>
      <w:r w:rsidR="00500DC3">
        <w:rPr>
          <w:rFonts w:ascii="Times New Roman" w:eastAsia="Times New Roman" w:hAnsi="Times New Roman" w:cs="Times New Roman"/>
          <w:lang w:val="en-GB"/>
        </w:rPr>
        <w:t>h</w:t>
      </w:r>
      <w:r w:rsidR="00846E15" w:rsidRPr="007F78BA">
        <w:rPr>
          <w:rFonts w:ascii="Times New Roman" w:eastAsia="Times New Roman" w:hAnsi="Times New Roman" w:cs="Times New Roman"/>
          <w:lang w:val="en-GB"/>
        </w:rPr>
        <w:t xml:space="preserve"> not</w:t>
      </w:r>
      <w:r w:rsidR="00500DC3">
        <w:rPr>
          <w:rFonts w:ascii="Times New Roman" w:eastAsia="Times New Roman" w:hAnsi="Times New Roman" w:cs="Times New Roman"/>
          <w:lang w:val="en-GB"/>
        </w:rPr>
        <w:t>ing</w:t>
      </w:r>
      <w:r w:rsidR="00846E15" w:rsidRPr="007F78BA">
        <w:rPr>
          <w:rFonts w:ascii="Times New Roman" w:eastAsia="Times New Roman" w:hAnsi="Times New Roman" w:cs="Times New Roman"/>
          <w:lang w:val="en-GB"/>
        </w:rPr>
        <w:t xml:space="preserve"> that generational differences can influence gay men’s ambivalence of what ‘gay community’ mean due to the changing status of homosexuality and </w:t>
      </w:r>
      <w:r w:rsidR="00500DC3">
        <w:rPr>
          <w:rFonts w:ascii="Times New Roman" w:eastAsia="Times New Roman" w:hAnsi="Times New Roman" w:cs="Times New Roman"/>
          <w:lang w:val="en-GB"/>
        </w:rPr>
        <w:t xml:space="preserve">the </w:t>
      </w:r>
      <w:r w:rsidR="00846E15" w:rsidRPr="007F78BA">
        <w:rPr>
          <w:rFonts w:ascii="Times New Roman" w:eastAsia="Times New Roman" w:hAnsi="Times New Roman" w:cs="Times New Roman"/>
          <w:lang w:val="en-GB"/>
        </w:rPr>
        <w:t xml:space="preserve">HIV epidemic </w:t>
      </w:r>
      <w:r w:rsidR="00846E15" w:rsidRPr="007F78BA">
        <w:rPr>
          <w:rFonts w:ascii="Times New Roman" w:eastAsia="Times New Roman" w:hAnsi="Times New Roman" w:cs="Times New Roman"/>
          <w:lang w:val="en-GB"/>
        </w:rPr>
        <w:fldChar w:fldCharType="begin"/>
      </w:r>
      <w:r w:rsidR="00846E15" w:rsidRPr="007F78BA">
        <w:rPr>
          <w:rFonts w:ascii="Times New Roman" w:eastAsia="Times New Roman" w:hAnsi="Times New Roman" w:cs="Times New Roman"/>
          <w:lang w:val="en-GB"/>
        </w:rPr>
        <w:instrText xml:space="preserve"> ADDIN ZOTERO_ITEM CSL_CITATION {"citationID":"WMCTiShE","properties":{"formattedCitation":"(Holt, 2011)","plainCitation":"(Holt, 2011)","noteIndex":0},"citationItems":[{"id":1678,"uris":["http://zotero.org/users/5061103/items/VMIHHPGU"],"uri":["http://zotero.org/users/5061103/items/VMIHHPGU"],"itemData":{"id":1678,"type":"article-journal","container-title":"Culture, Health &amp; Sexuality","DOI":"10.1080/13691058.2011.581390","ISSN":"1369-1058, 1464-5351","issue":"8","journalAbbreviation":"Culture, Health &amp; Sexuality","language":"en","page":"857-871","source":"DOI.org (Crossref)","title":"Gay men and ambivalence about ‘gay community’: from gay community attachment to personal communities","title-short":"Gay men and ambivalence about ‘gay community’","volume":"13","author":[{"family":"Holt","given":"Martin"}],"issued":{"date-parts":[["2011",9]]}}}],"schema":"https://github.com/citation-style-language/schema/raw/master/csl-citation.json"} </w:instrText>
      </w:r>
      <w:r w:rsidR="00846E15" w:rsidRPr="007F78BA">
        <w:rPr>
          <w:rFonts w:ascii="Times New Roman" w:eastAsia="Times New Roman" w:hAnsi="Times New Roman" w:cs="Times New Roman"/>
          <w:lang w:val="en-GB"/>
        </w:rPr>
        <w:fldChar w:fldCharType="separate"/>
      </w:r>
      <w:r w:rsidR="00846E15" w:rsidRPr="007F78BA">
        <w:rPr>
          <w:rFonts w:ascii="Times New Roman" w:eastAsia="Times New Roman" w:hAnsi="Times New Roman" w:cs="Times New Roman"/>
          <w:lang w:val="en-GB"/>
        </w:rPr>
        <w:t>(Holt, 2011)</w:t>
      </w:r>
      <w:r w:rsidR="00846E15" w:rsidRPr="007F78BA">
        <w:rPr>
          <w:rFonts w:ascii="Times New Roman" w:eastAsia="Times New Roman" w:hAnsi="Times New Roman" w:cs="Times New Roman"/>
          <w:lang w:val="en-GB"/>
        </w:rPr>
        <w:fldChar w:fldCharType="end"/>
      </w:r>
      <w:r w:rsidR="00846E15" w:rsidRPr="007F78BA">
        <w:rPr>
          <w:rFonts w:ascii="Times New Roman" w:eastAsia="Times New Roman" w:hAnsi="Times New Roman" w:cs="Times New Roman"/>
          <w:lang w:val="en-GB"/>
        </w:rPr>
        <w:t xml:space="preserve">. Future studies should consider variables related to community connectedness </w:t>
      </w:r>
      <w:r w:rsidR="00460565" w:rsidRPr="007F78BA">
        <w:rPr>
          <w:rFonts w:ascii="Times New Roman" w:eastAsia="Times New Roman" w:hAnsi="Times New Roman" w:cs="Times New Roman"/>
          <w:lang w:val="en-GB"/>
        </w:rPr>
        <w:t xml:space="preserve">when </w:t>
      </w:r>
      <w:r w:rsidR="00500DC3">
        <w:rPr>
          <w:rFonts w:ascii="Times New Roman" w:eastAsia="Times New Roman" w:hAnsi="Times New Roman" w:cs="Times New Roman"/>
          <w:lang w:val="en-GB"/>
        </w:rPr>
        <w:t>examining</w:t>
      </w:r>
      <w:r w:rsidR="00460565" w:rsidRPr="007F78BA">
        <w:rPr>
          <w:rFonts w:ascii="Times New Roman" w:eastAsia="Times New Roman" w:hAnsi="Times New Roman" w:cs="Times New Roman"/>
          <w:lang w:val="en-GB"/>
        </w:rPr>
        <w:t xml:space="preserve"> the relationship between </w:t>
      </w:r>
      <w:proofErr w:type="spellStart"/>
      <w:r w:rsidR="00460565" w:rsidRPr="007F78BA">
        <w:rPr>
          <w:rFonts w:ascii="Times New Roman" w:eastAsia="Times New Roman" w:hAnsi="Times New Roman" w:cs="Times New Roman"/>
          <w:lang w:val="en-GB"/>
        </w:rPr>
        <w:t>IH</w:t>
      </w:r>
      <w:proofErr w:type="spellEnd"/>
      <w:r w:rsidR="00460565" w:rsidRPr="007F78BA">
        <w:rPr>
          <w:rFonts w:ascii="Times New Roman" w:eastAsia="Times New Roman" w:hAnsi="Times New Roman" w:cs="Times New Roman"/>
          <w:lang w:val="en-GB"/>
        </w:rPr>
        <w:t xml:space="preserve"> and HIV/</w:t>
      </w:r>
      <w:proofErr w:type="spellStart"/>
      <w:r w:rsidR="00460565" w:rsidRPr="007F78BA">
        <w:rPr>
          <w:rFonts w:ascii="Times New Roman" w:eastAsia="Times New Roman" w:hAnsi="Times New Roman" w:cs="Times New Roman"/>
          <w:lang w:val="en-GB"/>
        </w:rPr>
        <w:t>PrEP</w:t>
      </w:r>
      <w:proofErr w:type="spellEnd"/>
      <w:r w:rsidR="00460565" w:rsidRPr="007F78BA">
        <w:rPr>
          <w:rFonts w:ascii="Times New Roman" w:eastAsia="Times New Roman" w:hAnsi="Times New Roman" w:cs="Times New Roman"/>
          <w:lang w:val="en-GB"/>
        </w:rPr>
        <w:t xml:space="preserve"> knowledge. </w:t>
      </w:r>
    </w:p>
    <w:p w14:paraId="0052EE10" w14:textId="6E2BD03B" w:rsidR="00104188" w:rsidRPr="007F78BA" w:rsidRDefault="005043A3" w:rsidP="007020A9">
      <w:pPr>
        <w:spacing w:line="276" w:lineRule="auto"/>
        <w:ind w:firstLine="720"/>
        <w:jc w:val="both"/>
        <w:rPr>
          <w:rFonts w:ascii="Times New Roman" w:eastAsia="Times New Roman" w:hAnsi="Times New Roman" w:cs="Times New Roman"/>
          <w:lang w:val="en-GB"/>
        </w:rPr>
      </w:pPr>
      <w:r>
        <w:rPr>
          <w:rFonts w:ascii="Times New Roman" w:eastAsia="Times New Roman" w:hAnsi="Times New Roman" w:cs="Times New Roman"/>
          <w:lang w:val="en-GB"/>
        </w:rPr>
        <w:t>An</w:t>
      </w:r>
      <w:r w:rsidRPr="007F78BA">
        <w:rPr>
          <w:rFonts w:ascii="Times New Roman" w:eastAsia="Times New Roman" w:hAnsi="Times New Roman" w:cs="Times New Roman"/>
          <w:lang w:val="en-GB"/>
        </w:rPr>
        <w:t xml:space="preserve"> </w:t>
      </w:r>
      <w:r w:rsidR="008955BA" w:rsidRPr="007F78BA">
        <w:rPr>
          <w:rFonts w:ascii="Times New Roman" w:eastAsia="Times New Roman" w:hAnsi="Times New Roman" w:cs="Times New Roman"/>
          <w:lang w:val="en-GB"/>
        </w:rPr>
        <w:t>important finding of this study is that while increased HIV/</w:t>
      </w:r>
      <w:proofErr w:type="spellStart"/>
      <w:r w:rsidR="008955BA" w:rsidRPr="007F78BA">
        <w:rPr>
          <w:rFonts w:ascii="Times New Roman" w:eastAsia="Times New Roman" w:hAnsi="Times New Roman" w:cs="Times New Roman"/>
          <w:lang w:val="en-GB"/>
        </w:rPr>
        <w:t>PrEP</w:t>
      </w:r>
      <w:proofErr w:type="spellEnd"/>
      <w:r w:rsidR="008955BA" w:rsidRPr="007F78BA">
        <w:rPr>
          <w:rFonts w:ascii="Times New Roman" w:eastAsia="Times New Roman" w:hAnsi="Times New Roman" w:cs="Times New Roman"/>
          <w:lang w:val="en-GB"/>
        </w:rPr>
        <w:t xml:space="preserve"> knowledge was associated with increased number of condomless sexual intercourse with non-steady partners for MSM in Spain, it reduced the number of condomless sexual intercourse with non-steady partners for MSM in Turkey. </w:t>
      </w:r>
      <w:r w:rsidR="00AF22EE" w:rsidRPr="007F78BA">
        <w:rPr>
          <w:rFonts w:ascii="Times New Roman" w:eastAsia="Times New Roman" w:hAnsi="Times New Roman" w:cs="Times New Roman"/>
          <w:lang w:val="en-GB"/>
        </w:rPr>
        <w:t xml:space="preserve">One explanation </w:t>
      </w:r>
      <w:r w:rsidR="00500DC3">
        <w:rPr>
          <w:rFonts w:ascii="Times New Roman" w:eastAsia="Times New Roman" w:hAnsi="Times New Roman" w:cs="Times New Roman"/>
          <w:lang w:val="en-GB"/>
        </w:rPr>
        <w:t>for</w:t>
      </w:r>
      <w:r w:rsidR="00500DC3" w:rsidRPr="007F78BA">
        <w:rPr>
          <w:rFonts w:ascii="Times New Roman" w:eastAsia="Times New Roman" w:hAnsi="Times New Roman" w:cs="Times New Roman"/>
          <w:lang w:val="en-GB"/>
        </w:rPr>
        <w:t xml:space="preserve"> </w:t>
      </w:r>
      <w:r w:rsidR="00AF22EE" w:rsidRPr="007F78BA">
        <w:rPr>
          <w:rFonts w:ascii="Times New Roman" w:eastAsia="Times New Roman" w:hAnsi="Times New Roman" w:cs="Times New Roman"/>
          <w:lang w:val="en-GB"/>
        </w:rPr>
        <w:t xml:space="preserve">this </w:t>
      </w:r>
      <w:r>
        <w:rPr>
          <w:rFonts w:ascii="Times New Roman" w:eastAsia="Times New Roman" w:hAnsi="Times New Roman" w:cs="Times New Roman"/>
          <w:lang w:val="en-GB"/>
        </w:rPr>
        <w:t>inconsistent</w:t>
      </w:r>
      <w:r w:rsidR="00AF22EE" w:rsidRPr="007F78BA">
        <w:rPr>
          <w:rFonts w:ascii="Times New Roman" w:eastAsia="Times New Roman" w:hAnsi="Times New Roman" w:cs="Times New Roman"/>
          <w:lang w:val="en-GB"/>
        </w:rPr>
        <w:t xml:space="preserve"> result could be that MSM in Spain</w:t>
      </w:r>
      <w:r>
        <w:rPr>
          <w:rFonts w:ascii="Times New Roman" w:eastAsia="Times New Roman" w:hAnsi="Times New Roman" w:cs="Times New Roman"/>
          <w:lang w:val="en-GB"/>
        </w:rPr>
        <w:t>, who have much lower IH than MSM in Turkey,</w:t>
      </w:r>
      <w:r w:rsidR="00AF22EE" w:rsidRPr="007F78BA">
        <w:rPr>
          <w:rFonts w:ascii="Times New Roman" w:eastAsia="Times New Roman" w:hAnsi="Times New Roman" w:cs="Times New Roman"/>
          <w:lang w:val="en-GB"/>
        </w:rPr>
        <w:t xml:space="preserve"> are </w:t>
      </w:r>
      <w:r>
        <w:rPr>
          <w:rFonts w:ascii="Times New Roman" w:eastAsia="Times New Roman" w:hAnsi="Times New Roman" w:cs="Times New Roman"/>
          <w:lang w:val="en-GB"/>
        </w:rPr>
        <w:t xml:space="preserve">also </w:t>
      </w:r>
      <w:r w:rsidR="00AF22EE" w:rsidRPr="007F78BA">
        <w:rPr>
          <w:rFonts w:ascii="Times New Roman" w:eastAsia="Times New Roman" w:hAnsi="Times New Roman" w:cs="Times New Roman"/>
          <w:lang w:val="en-GB"/>
        </w:rPr>
        <w:t>more likely</w:t>
      </w:r>
      <w:r w:rsidR="001C3CBB" w:rsidRPr="007F78BA">
        <w:rPr>
          <w:rFonts w:ascii="Times New Roman" w:eastAsia="Times New Roman" w:hAnsi="Times New Roman" w:cs="Times New Roman"/>
          <w:lang w:val="en-GB"/>
        </w:rPr>
        <w:t xml:space="preserve"> </w:t>
      </w:r>
      <w:r w:rsidR="00AF22EE" w:rsidRPr="007F78BA">
        <w:rPr>
          <w:rFonts w:ascii="Times New Roman" w:eastAsia="Times New Roman" w:hAnsi="Times New Roman" w:cs="Times New Roman"/>
          <w:lang w:val="en-GB"/>
        </w:rPr>
        <w:t xml:space="preserve">to be a part of a gay community and </w:t>
      </w:r>
      <w:r>
        <w:rPr>
          <w:rFonts w:ascii="Times New Roman" w:eastAsia="Times New Roman" w:hAnsi="Times New Roman" w:cs="Times New Roman"/>
          <w:lang w:val="en-GB"/>
        </w:rPr>
        <w:t xml:space="preserve">therefore </w:t>
      </w:r>
      <w:r w:rsidR="00846E73" w:rsidRPr="007F78BA">
        <w:rPr>
          <w:rFonts w:ascii="Times New Roman" w:eastAsia="Times New Roman" w:hAnsi="Times New Roman" w:cs="Times New Roman"/>
          <w:lang w:val="en-GB"/>
        </w:rPr>
        <w:t xml:space="preserve">have an </w:t>
      </w:r>
      <w:r w:rsidR="00AF22EE" w:rsidRPr="007F78BA">
        <w:rPr>
          <w:rFonts w:ascii="Times New Roman" w:eastAsia="Times New Roman" w:hAnsi="Times New Roman" w:cs="Times New Roman"/>
          <w:lang w:val="en-GB"/>
        </w:rPr>
        <w:t xml:space="preserve">increased chance of acquiring </w:t>
      </w:r>
      <w:r w:rsidR="001C3CBB" w:rsidRPr="007F78BA">
        <w:rPr>
          <w:rFonts w:ascii="Times New Roman" w:eastAsia="Times New Roman" w:hAnsi="Times New Roman" w:cs="Times New Roman"/>
          <w:lang w:val="en-GB"/>
        </w:rPr>
        <w:t xml:space="preserve">more knowledge about </w:t>
      </w:r>
      <w:r w:rsidR="00AF22EE" w:rsidRPr="007F78BA">
        <w:rPr>
          <w:rFonts w:ascii="Times New Roman" w:eastAsia="Times New Roman" w:hAnsi="Times New Roman" w:cs="Times New Roman"/>
          <w:lang w:val="en-GB"/>
        </w:rPr>
        <w:t xml:space="preserve">HIV/AIDS related information </w:t>
      </w:r>
      <w:r w:rsidR="001C3CBB" w:rsidRPr="007F78BA">
        <w:rPr>
          <w:rFonts w:ascii="Times New Roman" w:eastAsia="Times New Roman" w:hAnsi="Times New Roman" w:cs="Times New Roman"/>
          <w:lang w:val="en-GB"/>
        </w:rPr>
        <w:t>and about protecting themselves.</w:t>
      </w:r>
      <w:r w:rsidR="007A34C0">
        <w:rPr>
          <w:rFonts w:ascii="Times New Roman" w:eastAsia="Times New Roman" w:hAnsi="Times New Roman" w:cs="Times New Roman"/>
          <w:lang w:val="en-GB"/>
        </w:rPr>
        <w:t xml:space="preserve"> </w:t>
      </w:r>
    </w:p>
    <w:p w14:paraId="7A14A3AA" w14:textId="7B55452D" w:rsidR="005C16BB" w:rsidRPr="007F78BA" w:rsidRDefault="005043A3" w:rsidP="007020A9">
      <w:pPr>
        <w:spacing w:line="276" w:lineRule="auto"/>
        <w:ind w:firstLine="720"/>
        <w:jc w:val="both"/>
        <w:rPr>
          <w:rFonts w:ascii="Times New Roman" w:eastAsia="Times New Roman" w:hAnsi="Times New Roman" w:cs="Times New Roman"/>
          <w:lang w:val="en-GB"/>
        </w:rPr>
      </w:pPr>
      <w:r>
        <w:rPr>
          <w:rFonts w:ascii="Times New Roman" w:eastAsia="Times New Roman" w:hAnsi="Times New Roman" w:cs="Times New Roman"/>
          <w:lang w:val="en-GB"/>
        </w:rPr>
        <w:lastRenderedPageBreak/>
        <w:t>In</w:t>
      </w:r>
      <w:r w:rsidRPr="007F78BA">
        <w:rPr>
          <w:rFonts w:ascii="Times New Roman" w:eastAsia="Times New Roman" w:hAnsi="Times New Roman" w:cs="Times New Roman"/>
          <w:lang w:val="en-GB"/>
        </w:rPr>
        <w:t xml:space="preserve"> </w:t>
      </w:r>
      <w:r w:rsidR="00B12957" w:rsidRPr="007F78BA">
        <w:rPr>
          <w:rFonts w:ascii="Times New Roman" w:eastAsia="Times New Roman" w:hAnsi="Times New Roman" w:cs="Times New Roman"/>
          <w:lang w:val="en-GB"/>
        </w:rPr>
        <w:t xml:space="preserve">the sample of </w:t>
      </w:r>
      <w:proofErr w:type="spellStart"/>
      <w:r w:rsidR="00B12957" w:rsidRPr="007F78BA">
        <w:rPr>
          <w:rFonts w:ascii="Times New Roman" w:eastAsia="Times New Roman" w:hAnsi="Times New Roman" w:cs="Times New Roman"/>
          <w:lang w:val="en-GB"/>
        </w:rPr>
        <w:t>MSM</w:t>
      </w:r>
      <w:proofErr w:type="spellEnd"/>
      <w:r w:rsidR="00B12957" w:rsidRPr="007F78BA">
        <w:rPr>
          <w:rFonts w:ascii="Times New Roman" w:eastAsia="Times New Roman" w:hAnsi="Times New Roman" w:cs="Times New Roman"/>
          <w:lang w:val="en-GB"/>
        </w:rPr>
        <w:t xml:space="preserve"> in Turkey, HIV/</w:t>
      </w:r>
      <w:proofErr w:type="spellStart"/>
      <w:r w:rsidR="00B12957" w:rsidRPr="007F78BA">
        <w:rPr>
          <w:rFonts w:ascii="Times New Roman" w:eastAsia="Times New Roman" w:hAnsi="Times New Roman" w:cs="Times New Roman"/>
          <w:lang w:val="en-GB"/>
        </w:rPr>
        <w:t>PrEP</w:t>
      </w:r>
      <w:proofErr w:type="spellEnd"/>
      <w:r w:rsidR="00B12957" w:rsidRPr="007F78BA">
        <w:rPr>
          <w:rFonts w:ascii="Times New Roman" w:eastAsia="Times New Roman" w:hAnsi="Times New Roman" w:cs="Times New Roman"/>
          <w:lang w:val="en-GB"/>
        </w:rPr>
        <w:t xml:space="preserve"> knowledge did not link IH and SRB. For MSM in Spain, however, we found that </w:t>
      </w:r>
      <w:r w:rsidR="00B50A96" w:rsidRPr="007F78BA">
        <w:rPr>
          <w:rFonts w:ascii="Times New Roman" w:eastAsia="Times New Roman" w:hAnsi="Times New Roman" w:cs="Times New Roman"/>
          <w:lang w:val="en-GB"/>
        </w:rPr>
        <w:t xml:space="preserve">as IH increased, the number of condomless intercourse with non-steady partners reported </w:t>
      </w:r>
      <w:r>
        <w:rPr>
          <w:rFonts w:ascii="Times New Roman" w:eastAsia="Times New Roman" w:hAnsi="Times New Roman" w:cs="Times New Roman"/>
          <w:lang w:val="en-GB"/>
        </w:rPr>
        <w:t xml:space="preserve">– that is, </w:t>
      </w:r>
      <w:r w:rsidR="00B50A96" w:rsidRPr="007F78BA">
        <w:rPr>
          <w:rFonts w:ascii="Times New Roman" w:eastAsia="Times New Roman" w:hAnsi="Times New Roman" w:cs="Times New Roman"/>
          <w:lang w:val="en-GB"/>
        </w:rPr>
        <w:t>SRB</w:t>
      </w:r>
      <w:r>
        <w:rPr>
          <w:rFonts w:ascii="Times New Roman" w:eastAsia="Times New Roman" w:hAnsi="Times New Roman" w:cs="Times New Roman"/>
          <w:lang w:val="en-GB"/>
        </w:rPr>
        <w:t xml:space="preserve"> –</w:t>
      </w:r>
      <w:r w:rsidR="00B50A96" w:rsidRPr="007F78BA">
        <w:rPr>
          <w:rFonts w:ascii="Times New Roman" w:eastAsia="Times New Roman" w:hAnsi="Times New Roman" w:cs="Times New Roman"/>
          <w:lang w:val="en-GB"/>
        </w:rPr>
        <w:t xml:space="preserve"> decreased; because higher IH </w:t>
      </w:r>
      <w:r w:rsidR="000C1313">
        <w:rPr>
          <w:rFonts w:ascii="Times New Roman" w:eastAsia="Times New Roman" w:hAnsi="Times New Roman" w:cs="Times New Roman"/>
          <w:lang w:val="en-GB"/>
        </w:rPr>
        <w:t xml:space="preserve">was associated with </w:t>
      </w:r>
      <w:r>
        <w:rPr>
          <w:rFonts w:ascii="Times New Roman" w:eastAsia="Times New Roman" w:hAnsi="Times New Roman" w:cs="Times New Roman"/>
          <w:lang w:val="en-GB"/>
        </w:rPr>
        <w:t xml:space="preserve">reduced </w:t>
      </w:r>
      <w:r w:rsidR="00B50A96" w:rsidRPr="007F78BA">
        <w:rPr>
          <w:rFonts w:ascii="Times New Roman" w:eastAsia="Times New Roman" w:hAnsi="Times New Roman" w:cs="Times New Roman"/>
          <w:lang w:val="en-GB"/>
        </w:rPr>
        <w:t>HIV/</w:t>
      </w:r>
      <w:proofErr w:type="spellStart"/>
      <w:r w:rsidR="00B50A96" w:rsidRPr="007F78BA">
        <w:rPr>
          <w:rFonts w:ascii="Times New Roman" w:eastAsia="Times New Roman" w:hAnsi="Times New Roman" w:cs="Times New Roman"/>
          <w:lang w:val="en-GB"/>
        </w:rPr>
        <w:t>PrEP</w:t>
      </w:r>
      <w:proofErr w:type="spellEnd"/>
      <w:r w:rsidR="00B50A96" w:rsidRPr="007F78BA">
        <w:rPr>
          <w:rFonts w:ascii="Times New Roman" w:eastAsia="Times New Roman" w:hAnsi="Times New Roman" w:cs="Times New Roman"/>
          <w:lang w:val="en-GB"/>
        </w:rPr>
        <w:t xml:space="preserve"> knowledge while higher HIV</w:t>
      </w:r>
      <w:r w:rsidR="000C1313">
        <w:rPr>
          <w:rFonts w:ascii="Times New Roman" w:eastAsia="Times New Roman" w:hAnsi="Times New Roman" w:cs="Times New Roman"/>
          <w:lang w:val="en-GB"/>
        </w:rPr>
        <w:t>/</w:t>
      </w:r>
      <w:proofErr w:type="spellStart"/>
      <w:r w:rsidR="000C1313">
        <w:rPr>
          <w:rFonts w:ascii="Times New Roman" w:eastAsia="Times New Roman" w:hAnsi="Times New Roman" w:cs="Times New Roman"/>
          <w:lang w:val="en-GB"/>
        </w:rPr>
        <w:t>PrEP</w:t>
      </w:r>
      <w:proofErr w:type="spellEnd"/>
      <w:r w:rsidR="00B50A96" w:rsidRPr="007F78BA">
        <w:rPr>
          <w:rFonts w:ascii="Times New Roman" w:eastAsia="Times New Roman" w:hAnsi="Times New Roman" w:cs="Times New Roman"/>
          <w:lang w:val="en-GB"/>
        </w:rPr>
        <w:t xml:space="preserve"> </w:t>
      </w:r>
      <w:r w:rsidR="000C1313">
        <w:rPr>
          <w:rFonts w:ascii="Times New Roman" w:eastAsia="Times New Roman" w:hAnsi="Times New Roman" w:cs="Times New Roman"/>
          <w:lang w:val="en-GB"/>
        </w:rPr>
        <w:t>knowledge was associated</w:t>
      </w:r>
      <w:r w:rsidR="00B50A96" w:rsidRPr="007F78BA">
        <w:rPr>
          <w:rFonts w:ascii="Times New Roman" w:eastAsia="Times New Roman" w:hAnsi="Times New Roman" w:cs="Times New Roman"/>
          <w:lang w:val="en-GB"/>
        </w:rPr>
        <w:t xml:space="preserve"> increased SRB. </w:t>
      </w:r>
      <w:r w:rsidR="00072240" w:rsidRPr="007F78BA">
        <w:rPr>
          <w:rFonts w:ascii="Times New Roman" w:eastAsia="Times New Roman" w:hAnsi="Times New Roman" w:cs="Times New Roman"/>
          <w:lang w:val="en-GB"/>
        </w:rPr>
        <w:t>On one hand, t</w:t>
      </w:r>
      <w:r w:rsidR="00291E44" w:rsidRPr="007F78BA">
        <w:rPr>
          <w:rFonts w:ascii="Times New Roman" w:eastAsia="Times New Roman" w:hAnsi="Times New Roman" w:cs="Times New Roman"/>
          <w:lang w:val="en-GB"/>
        </w:rPr>
        <w:t xml:space="preserve">his finding may be </w:t>
      </w:r>
      <w:r>
        <w:rPr>
          <w:rFonts w:ascii="Times New Roman" w:eastAsia="Times New Roman" w:hAnsi="Times New Roman" w:cs="Times New Roman"/>
          <w:lang w:val="en-GB"/>
        </w:rPr>
        <w:t>because</w:t>
      </w:r>
      <w:r w:rsidR="00291E44" w:rsidRPr="007F78BA">
        <w:rPr>
          <w:rFonts w:ascii="Times New Roman" w:eastAsia="Times New Roman" w:hAnsi="Times New Roman" w:cs="Times New Roman"/>
          <w:lang w:val="en-GB"/>
        </w:rPr>
        <w:t xml:space="preserve"> men with higher IH tend to have reduced self-efficacy for condom use </w:t>
      </w:r>
      <w:r w:rsidR="00291E44" w:rsidRPr="007F78BA">
        <w:rPr>
          <w:rFonts w:ascii="Times New Roman" w:eastAsia="Times New Roman" w:hAnsi="Times New Roman" w:cs="Times New Roman"/>
          <w:lang w:val="en-GB"/>
        </w:rPr>
        <w:fldChar w:fldCharType="begin"/>
      </w:r>
      <w:r w:rsidR="00291E44" w:rsidRPr="007F78BA">
        <w:rPr>
          <w:rFonts w:ascii="Times New Roman" w:eastAsia="Times New Roman" w:hAnsi="Times New Roman" w:cs="Times New Roman"/>
          <w:lang w:val="en-GB"/>
        </w:rPr>
        <w:instrText xml:space="preserve"> ADDIN ZOTERO_ITEM CSL_CITATION {"citationID":"ORgcju2G","properties":{"formattedCitation":"(Huebner et al., 2002)","plainCitation":"(Huebner et al., 2002)","noteIndex":0},"citationItems":[{"id":581,"uris":["http://zotero.org/users/5061103/items/JASAQWLU"],"uri":["http://zotero.org/users/5061103/items/JASAQWLU"],"itemData":{"id":581,"type":"article-journal","container-title":"American Journal of Community Psychology","DOI":"10.1023/A:1015325303002","ISSN":"00910562","issue":"3","language":"en","page":"327-348","source":"Crossref","title":"The Impact of Internalized Homophobia on HIV Preventive Interventions","volume":"30","author":[{"family":"Huebner","given":"David M."},{"family":"Davis","given":"Mary C."},{"family":"Nemeroff","given":"Carol J."},{"family":"Aiken","given":"Leona S."}],"issued":{"date-parts":[["2002",6]]}}}],"schema":"https://github.com/citation-style-language/schema/raw/master/csl-citation.json"} </w:instrText>
      </w:r>
      <w:r w:rsidR="00291E44" w:rsidRPr="007F78BA">
        <w:rPr>
          <w:rFonts w:ascii="Times New Roman" w:eastAsia="Times New Roman" w:hAnsi="Times New Roman" w:cs="Times New Roman"/>
          <w:lang w:val="en-GB"/>
        </w:rPr>
        <w:fldChar w:fldCharType="separate"/>
      </w:r>
      <w:r w:rsidR="00291E44" w:rsidRPr="007F78BA">
        <w:rPr>
          <w:rFonts w:ascii="Times New Roman" w:eastAsia="Times New Roman" w:hAnsi="Times New Roman" w:cs="Times New Roman"/>
          <w:lang w:val="en-GB"/>
        </w:rPr>
        <w:t>(Huebner et al., 2002)</w:t>
      </w:r>
      <w:r w:rsidR="00291E44" w:rsidRPr="007F78BA">
        <w:rPr>
          <w:rFonts w:ascii="Times New Roman" w:eastAsia="Times New Roman" w:hAnsi="Times New Roman" w:cs="Times New Roman"/>
          <w:lang w:val="en-GB"/>
        </w:rPr>
        <w:fldChar w:fldCharType="end"/>
      </w:r>
      <w:r w:rsidR="00291E44" w:rsidRPr="007F78BA">
        <w:rPr>
          <w:rFonts w:ascii="Times New Roman" w:eastAsia="Times New Roman" w:hAnsi="Times New Roman" w:cs="Times New Roman"/>
          <w:lang w:val="en-GB"/>
        </w:rPr>
        <w:t xml:space="preserve"> and those who are less knowledgeable about self-prevention strategies may not </w:t>
      </w:r>
      <w:r w:rsidR="00E17437" w:rsidRPr="007F78BA">
        <w:rPr>
          <w:rFonts w:ascii="Times New Roman" w:eastAsia="Times New Roman" w:hAnsi="Times New Roman" w:cs="Times New Roman"/>
          <w:lang w:val="en-GB"/>
        </w:rPr>
        <w:t xml:space="preserve">be </w:t>
      </w:r>
      <w:r w:rsidR="00066FB4" w:rsidRPr="007F78BA">
        <w:rPr>
          <w:rFonts w:ascii="Times New Roman" w:eastAsia="Times New Roman" w:hAnsi="Times New Roman" w:cs="Times New Roman"/>
          <w:lang w:val="en-GB"/>
        </w:rPr>
        <w:t>confident enough, given the</w:t>
      </w:r>
      <w:r>
        <w:rPr>
          <w:rFonts w:ascii="Times New Roman" w:eastAsia="Times New Roman" w:hAnsi="Times New Roman" w:cs="Times New Roman"/>
          <w:lang w:val="en-GB"/>
        </w:rPr>
        <w:t>ir</w:t>
      </w:r>
      <w:r w:rsidR="00066FB4" w:rsidRPr="007F78BA">
        <w:rPr>
          <w:rFonts w:ascii="Times New Roman" w:eastAsia="Times New Roman" w:hAnsi="Times New Roman" w:cs="Times New Roman"/>
          <w:lang w:val="en-GB"/>
        </w:rPr>
        <w:t xml:space="preserve"> high IH,</w:t>
      </w:r>
      <w:r w:rsidR="00291E44" w:rsidRPr="007F78BA">
        <w:rPr>
          <w:rFonts w:ascii="Times New Roman" w:eastAsia="Times New Roman" w:hAnsi="Times New Roman" w:cs="Times New Roman"/>
          <w:lang w:val="en-GB"/>
        </w:rPr>
        <w:t xml:space="preserve"> </w:t>
      </w:r>
      <w:r w:rsidR="00066FB4" w:rsidRPr="007F78BA">
        <w:rPr>
          <w:rFonts w:ascii="Times New Roman" w:eastAsia="Times New Roman" w:hAnsi="Times New Roman" w:cs="Times New Roman"/>
          <w:lang w:val="en-GB"/>
        </w:rPr>
        <w:t xml:space="preserve">to communicate safer sex practices with </w:t>
      </w:r>
      <w:r>
        <w:rPr>
          <w:rFonts w:ascii="Times New Roman" w:eastAsia="Times New Roman" w:hAnsi="Times New Roman" w:cs="Times New Roman"/>
          <w:lang w:val="en-GB"/>
        </w:rPr>
        <w:t>non-steady</w:t>
      </w:r>
      <w:r w:rsidRPr="007F78BA">
        <w:rPr>
          <w:rFonts w:ascii="Times New Roman" w:eastAsia="Times New Roman" w:hAnsi="Times New Roman" w:cs="Times New Roman"/>
          <w:lang w:val="en-GB"/>
        </w:rPr>
        <w:t xml:space="preserve"> </w:t>
      </w:r>
      <w:r w:rsidR="00066FB4" w:rsidRPr="007F78BA">
        <w:rPr>
          <w:rFonts w:ascii="Times New Roman" w:eastAsia="Times New Roman" w:hAnsi="Times New Roman" w:cs="Times New Roman"/>
          <w:lang w:val="en-GB"/>
        </w:rPr>
        <w:t xml:space="preserve">partners. </w:t>
      </w:r>
      <w:r w:rsidR="00072240" w:rsidRPr="007F78BA">
        <w:rPr>
          <w:rFonts w:ascii="Times New Roman" w:eastAsia="Times New Roman" w:hAnsi="Times New Roman" w:cs="Times New Roman"/>
          <w:lang w:val="en-GB"/>
        </w:rPr>
        <w:t xml:space="preserve">On the other hand, </w:t>
      </w:r>
      <w:r w:rsidR="005C3900" w:rsidRPr="007F78BA">
        <w:rPr>
          <w:rFonts w:ascii="Times New Roman" w:eastAsia="Times New Roman" w:hAnsi="Times New Roman" w:cs="Times New Roman"/>
          <w:lang w:val="en-GB"/>
        </w:rPr>
        <w:t xml:space="preserve">it is likely that </w:t>
      </w:r>
      <w:r w:rsidR="00072240" w:rsidRPr="007F78BA">
        <w:rPr>
          <w:rFonts w:ascii="Times New Roman" w:eastAsia="Times New Roman" w:hAnsi="Times New Roman" w:cs="Times New Roman"/>
          <w:lang w:val="en-GB"/>
        </w:rPr>
        <w:t>those men who are able to negotiate safeness that go into sex (i.e. knowing that no HIV transmissions from the HIV-positive partner to the HIV-negative partner would occur if their viral load is undetectable (“U=U; Undetectable=</w:t>
      </w:r>
      <w:proofErr w:type="spellStart"/>
      <w:r w:rsidR="00072240" w:rsidRPr="007F78BA">
        <w:rPr>
          <w:rFonts w:ascii="Times New Roman" w:eastAsia="Times New Roman" w:hAnsi="Times New Roman" w:cs="Times New Roman"/>
          <w:lang w:val="en-GB"/>
        </w:rPr>
        <w:t>Untransmittable</w:t>
      </w:r>
      <w:proofErr w:type="spellEnd"/>
      <w:r w:rsidR="00072240" w:rsidRPr="007F78BA">
        <w:rPr>
          <w:rFonts w:ascii="Times New Roman" w:eastAsia="Times New Roman" w:hAnsi="Times New Roman" w:cs="Times New Roman"/>
          <w:lang w:val="en-GB"/>
        </w:rPr>
        <w:t>”)</w:t>
      </w:r>
      <w:r w:rsidR="005C3900" w:rsidRPr="007F78BA">
        <w:rPr>
          <w:rFonts w:ascii="Times New Roman" w:eastAsia="Times New Roman" w:hAnsi="Times New Roman" w:cs="Times New Roman"/>
          <w:lang w:val="en-GB"/>
        </w:rPr>
        <w:t xml:space="preserve">, communicate about how long ago they have been tested or whether their non-steady partner is using </w:t>
      </w:r>
      <w:proofErr w:type="spellStart"/>
      <w:r w:rsidR="005C3900" w:rsidRPr="007F78BA">
        <w:rPr>
          <w:rFonts w:ascii="Times New Roman" w:eastAsia="Times New Roman" w:hAnsi="Times New Roman" w:cs="Times New Roman"/>
          <w:lang w:val="en-GB"/>
        </w:rPr>
        <w:t>PrEP</w:t>
      </w:r>
      <w:proofErr w:type="spellEnd"/>
      <w:r w:rsidR="00072240" w:rsidRPr="007F78BA">
        <w:rPr>
          <w:rFonts w:ascii="Times New Roman" w:eastAsia="Times New Roman" w:hAnsi="Times New Roman" w:cs="Times New Roman"/>
          <w:lang w:val="en-GB"/>
        </w:rPr>
        <w:t xml:space="preserve"> </w:t>
      </w:r>
      <w:r w:rsidR="005C3900" w:rsidRPr="007F78BA">
        <w:rPr>
          <w:rFonts w:ascii="Times New Roman" w:eastAsia="Times New Roman" w:hAnsi="Times New Roman" w:cs="Times New Roman"/>
          <w:lang w:val="en-GB"/>
        </w:rPr>
        <w:t>are more knowledgeable about specific compartments of the HIV/</w:t>
      </w:r>
      <w:proofErr w:type="spellStart"/>
      <w:r w:rsidR="005C3900" w:rsidRPr="007F78BA">
        <w:rPr>
          <w:rFonts w:ascii="Times New Roman" w:eastAsia="Times New Roman" w:hAnsi="Times New Roman" w:cs="Times New Roman"/>
          <w:lang w:val="en-GB"/>
        </w:rPr>
        <w:t>PrEP</w:t>
      </w:r>
      <w:proofErr w:type="spellEnd"/>
      <w:r w:rsidR="005C3900" w:rsidRPr="007F78BA">
        <w:rPr>
          <w:rFonts w:ascii="Times New Roman" w:eastAsia="Times New Roman" w:hAnsi="Times New Roman" w:cs="Times New Roman"/>
          <w:lang w:val="en-GB"/>
        </w:rPr>
        <w:t xml:space="preserve"> knowledge scale than those who cannot. For example, </w:t>
      </w:r>
      <w:r w:rsidR="00BE5F0A">
        <w:rPr>
          <w:rFonts w:ascii="Times New Roman" w:eastAsia="Times New Roman" w:hAnsi="Times New Roman" w:cs="Times New Roman"/>
          <w:lang w:val="en-GB"/>
        </w:rPr>
        <w:t xml:space="preserve">the </w:t>
      </w:r>
      <w:r w:rsidR="005C3900" w:rsidRPr="007F78BA">
        <w:rPr>
          <w:rFonts w:ascii="Times New Roman" w:eastAsia="Times New Roman" w:hAnsi="Times New Roman" w:cs="Times New Roman"/>
          <w:lang w:val="en-GB"/>
        </w:rPr>
        <w:t>EMIS</w:t>
      </w:r>
      <w:r w:rsidR="00BE5F0A">
        <w:rPr>
          <w:rFonts w:ascii="Times New Roman" w:eastAsia="Times New Roman" w:hAnsi="Times New Roman" w:cs="Times New Roman"/>
          <w:lang w:val="en-GB"/>
        </w:rPr>
        <w:t>-</w:t>
      </w:r>
      <w:r w:rsidR="005C3900" w:rsidRPr="007F78BA">
        <w:rPr>
          <w:rFonts w:ascii="Times New Roman" w:eastAsia="Times New Roman" w:hAnsi="Times New Roman" w:cs="Times New Roman"/>
          <w:lang w:val="en-GB"/>
        </w:rPr>
        <w:t xml:space="preserve">2017 </w:t>
      </w:r>
      <w:r>
        <w:rPr>
          <w:rFonts w:ascii="Times New Roman" w:eastAsia="Times New Roman" w:hAnsi="Times New Roman" w:cs="Times New Roman"/>
          <w:lang w:val="en-GB"/>
        </w:rPr>
        <w:t>study</w:t>
      </w:r>
      <w:r w:rsidRPr="007F78BA">
        <w:rPr>
          <w:rFonts w:ascii="Times New Roman" w:eastAsia="Times New Roman" w:hAnsi="Times New Roman" w:cs="Times New Roman"/>
          <w:lang w:val="en-GB"/>
        </w:rPr>
        <w:t xml:space="preserve"> </w:t>
      </w:r>
      <w:r w:rsidR="005C3900" w:rsidRPr="007F78BA">
        <w:rPr>
          <w:rFonts w:ascii="Times New Roman" w:eastAsia="Times New Roman" w:hAnsi="Times New Roman" w:cs="Times New Roman"/>
          <w:lang w:val="en-GB"/>
        </w:rPr>
        <w:t xml:space="preserve">documented that while 63.6% of MSM in Spain were aware of </w:t>
      </w:r>
      <w:proofErr w:type="spellStart"/>
      <w:r w:rsidR="005C3900" w:rsidRPr="007F78BA">
        <w:rPr>
          <w:rFonts w:ascii="Times New Roman" w:eastAsia="Times New Roman" w:hAnsi="Times New Roman" w:cs="Times New Roman"/>
          <w:lang w:val="en-GB"/>
        </w:rPr>
        <w:t>PrEP</w:t>
      </w:r>
      <w:proofErr w:type="spellEnd"/>
      <w:r w:rsidR="005C3900" w:rsidRPr="007F78BA">
        <w:rPr>
          <w:rFonts w:ascii="Times New Roman" w:eastAsia="Times New Roman" w:hAnsi="Times New Roman" w:cs="Times New Roman"/>
          <w:lang w:val="en-GB"/>
        </w:rPr>
        <w:t xml:space="preserve">, this rate was only 29.1% for MSM in Turkey </w:t>
      </w:r>
      <w:r w:rsidR="005C3900" w:rsidRPr="007F78BA">
        <w:rPr>
          <w:rFonts w:ascii="Times New Roman" w:eastAsia="Times New Roman" w:hAnsi="Times New Roman" w:cs="Times New Roman"/>
          <w:lang w:val="en-GB"/>
        </w:rPr>
        <w:fldChar w:fldCharType="begin"/>
      </w:r>
      <w:r w:rsidR="006C7BCD">
        <w:rPr>
          <w:rFonts w:ascii="Times New Roman" w:eastAsia="Times New Roman" w:hAnsi="Times New Roman" w:cs="Times New Roman"/>
          <w:lang w:val="en-GB"/>
        </w:rPr>
        <w:instrText xml:space="preserve"> ADDIN ZOTERO_ITEM CSL_CITATION {"citationID":"4t6eSVAn","properties":{"formattedCitation":"(The EMIS Network, 2019)","plainCitation":"(The EMIS Network, 2019)","noteIndex":0},"citationItems":[{"id":1629,"uris":["http://zotero.org/users/5061103/items/D6U62E9C"],"uri":["http://zotero.org/users/5061103/items/D6U62E9C"],"itemData":{"id":1629,"type":"report","event-place":"Stockholm","language":"en","publisher":"European Centre for Disease Prevention and Control","publisher-place":"Stockholm","source":"DOI.org (CSL JSON)","title":"EMIS-2017: European Men-Who-Have-Sex-With-Men Internet Survey: Key findings from 50 countries.","title-short":"EMIS-2017","URL":"https://data.europa.eu/doi/10.2900/690387","author":[{"literal":"The EMIS Network"}],"accessed":{"date-parts":[["2021",9,16]]},"issued":{"date-parts":[["2019"]]}}}],"schema":"https://github.com/citation-style-language/schema/raw/master/csl-citation.json"} </w:instrText>
      </w:r>
      <w:r w:rsidR="005C3900" w:rsidRPr="007F78BA">
        <w:rPr>
          <w:rFonts w:ascii="Times New Roman" w:eastAsia="Times New Roman" w:hAnsi="Times New Roman" w:cs="Times New Roman"/>
          <w:lang w:val="en-GB"/>
        </w:rPr>
        <w:fldChar w:fldCharType="separate"/>
      </w:r>
      <w:r w:rsidR="0028392A">
        <w:rPr>
          <w:rFonts w:ascii="Times New Roman" w:eastAsia="Times New Roman" w:hAnsi="Times New Roman" w:cs="Times New Roman"/>
          <w:lang w:val="en-GB"/>
        </w:rPr>
        <w:t>(The EMIS Network, 2019)</w:t>
      </w:r>
      <w:r w:rsidR="005C3900" w:rsidRPr="007F78BA">
        <w:rPr>
          <w:rFonts w:ascii="Times New Roman" w:eastAsia="Times New Roman" w:hAnsi="Times New Roman" w:cs="Times New Roman"/>
          <w:lang w:val="en-GB"/>
        </w:rPr>
        <w:fldChar w:fldCharType="end"/>
      </w:r>
      <w:r w:rsidR="005C3900" w:rsidRPr="007F78BA">
        <w:rPr>
          <w:rFonts w:ascii="Times New Roman" w:eastAsia="Times New Roman" w:hAnsi="Times New Roman" w:cs="Times New Roman"/>
          <w:lang w:val="en-GB"/>
        </w:rPr>
        <w:t>. Similarly, in Spain, 54.5% of MSM had awareness of U=U while this rate was 37</w:t>
      </w:r>
      <w:r>
        <w:rPr>
          <w:rFonts w:ascii="Times New Roman" w:eastAsia="Times New Roman" w:hAnsi="Times New Roman" w:cs="Times New Roman"/>
          <w:lang w:val="en-GB"/>
        </w:rPr>
        <w:t>.</w:t>
      </w:r>
      <w:r w:rsidR="005C3900" w:rsidRPr="007F78BA">
        <w:rPr>
          <w:rFonts w:ascii="Times New Roman" w:eastAsia="Times New Roman" w:hAnsi="Times New Roman" w:cs="Times New Roman"/>
          <w:lang w:val="en-GB"/>
        </w:rPr>
        <w:t xml:space="preserve">6% in Turkey. </w:t>
      </w:r>
      <w:r>
        <w:rPr>
          <w:rFonts w:ascii="Times New Roman" w:eastAsia="Times New Roman" w:hAnsi="Times New Roman" w:cs="Times New Roman"/>
          <w:lang w:val="en-GB"/>
        </w:rPr>
        <w:t>Thus</w:t>
      </w:r>
      <w:r w:rsidR="005C3900" w:rsidRPr="007F78BA">
        <w:rPr>
          <w:rFonts w:ascii="Times New Roman" w:eastAsia="Times New Roman" w:hAnsi="Times New Roman" w:cs="Times New Roman"/>
          <w:lang w:val="en-GB"/>
        </w:rPr>
        <w:t xml:space="preserve">, it is possible that MSM in Spain are more likely than MSM in Turkey to protect themselves although they have more condomless sex. </w:t>
      </w:r>
    </w:p>
    <w:p w14:paraId="258D0DC8" w14:textId="705F05F8" w:rsidR="008A7703" w:rsidRDefault="00A953BC" w:rsidP="0034284D">
      <w:pPr>
        <w:spacing w:line="276" w:lineRule="auto"/>
        <w:ind w:firstLine="720"/>
        <w:jc w:val="both"/>
        <w:rPr>
          <w:rFonts w:ascii="Times New Roman" w:eastAsia="Times New Roman" w:hAnsi="Times New Roman" w:cs="Times New Roman"/>
          <w:lang w:val="en-GB"/>
        </w:rPr>
      </w:pPr>
      <w:r w:rsidRPr="007F78BA">
        <w:rPr>
          <w:rFonts w:ascii="Times New Roman" w:eastAsia="Times New Roman" w:hAnsi="Times New Roman" w:cs="Times New Roman"/>
          <w:lang w:val="en-GB"/>
        </w:rPr>
        <w:t xml:space="preserve">For </w:t>
      </w:r>
      <w:r w:rsidR="005043A3">
        <w:rPr>
          <w:rFonts w:ascii="Times New Roman" w:eastAsia="Times New Roman" w:hAnsi="Times New Roman" w:cs="Times New Roman"/>
          <w:lang w:val="en-GB"/>
        </w:rPr>
        <w:t xml:space="preserve">MSM in </w:t>
      </w:r>
      <w:r w:rsidRPr="007F78BA">
        <w:rPr>
          <w:rFonts w:ascii="Times New Roman" w:eastAsia="Times New Roman" w:hAnsi="Times New Roman" w:cs="Times New Roman"/>
          <w:lang w:val="en-GB"/>
        </w:rPr>
        <w:t xml:space="preserve">both countries, we found that </w:t>
      </w:r>
      <w:r w:rsidR="00B617AA">
        <w:rPr>
          <w:rFonts w:ascii="Times New Roman" w:eastAsia="Times New Roman" w:hAnsi="Times New Roman" w:cs="Times New Roman"/>
          <w:lang w:val="en-GB"/>
        </w:rPr>
        <w:t>sex under the influence of substances</w:t>
      </w:r>
      <w:r w:rsidRPr="007F78BA">
        <w:rPr>
          <w:rFonts w:ascii="Times New Roman" w:eastAsia="Times New Roman" w:hAnsi="Times New Roman" w:cs="Times New Roman"/>
          <w:lang w:val="en-GB"/>
        </w:rPr>
        <w:t xml:space="preserve"> (</w:t>
      </w:r>
      <w:r w:rsidR="00E93EC1">
        <w:rPr>
          <w:rFonts w:ascii="Times New Roman" w:eastAsia="Times New Roman" w:hAnsi="Times New Roman" w:cs="Times New Roman"/>
          <w:lang w:val="en-GB"/>
        </w:rPr>
        <w:t>SUIS</w:t>
      </w:r>
      <w:r w:rsidRPr="007F78BA">
        <w:rPr>
          <w:rFonts w:ascii="Times New Roman" w:eastAsia="Times New Roman" w:hAnsi="Times New Roman" w:cs="Times New Roman"/>
          <w:lang w:val="en-GB"/>
        </w:rPr>
        <w:t>) predicted SRB</w:t>
      </w:r>
      <w:r w:rsidR="000F1132" w:rsidRPr="007F78BA">
        <w:rPr>
          <w:rFonts w:ascii="Times New Roman" w:eastAsia="Times New Roman" w:hAnsi="Times New Roman" w:cs="Times New Roman"/>
          <w:lang w:val="en-GB"/>
        </w:rPr>
        <w:t>, without I</w:t>
      </w:r>
      <w:r w:rsidR="005C16BB" w:rsidRPr="007F78BA">
        <w:rPr>
          <w:rFonts w:ascii="Times New Roman" w:eastAsia="Times New Roman" w:hAnsi="Times New Roman" w:cs="Times New Roman"/>
          <w:lang w:val="en-GB"/>
        </w:rPr>
        <w:t xml:space="preserve">H </w:t>
      </w:r>
      <w:r w:rsidR="000F1132" w:rsidRPr="007F78BA">
        <w:rPr>
          <w:rFonts w:ascii="Times New Roman" w:eastAsia="Times New Roman" w:hAnsi="Times New Roman" w:cs="Times New Roman"/>
          <w:lang w:val="en-GB"/>
        </w:rPr>
        <w:t xml:space="preserve">influencing </w:t>
      </w:r>
      <w:r w:rsidR="00E93EC1">
        <w:rPr>
          <w:rFonts w:ascii="Times New Roman" w:eastAsia="Times New Roman" w:hAnsi="Times New Roman" w:cs="Times New Roman"/>
          <w:lang w:val="en-GB"/>
        </w:rPr>
        <w:t>SUIS</w:t>
      </w:r>
      <w:r w:rsidR="000F1132" w:rsidRPr="007F78BA">
        <w:rPr>
          <w:rFonts w:ascii="Times New Roman" w:eastAsia="Times New Roman" w:hAnsi="Times New Roman" w:cs="Times New Roman"/>
          <w:lang w:val="en-GB"/>
        </w:rPr>
        <w:t>.</w:t>
      </w:r>
      <w:r w:rsidR="00A63361" w:rsidRPr="007F78BA">
        <w:rPr>
          <w:rFonts w:ascii="Times New Roman" w:eastAsia="Times New Roman" w:hAnsi="Times New Roman" w:cs="Times New Roman"/>
          <w:lang w:val="en-GB"/>
        </w:rPr>
        <w:t xml:space="preserve"> This finding corroborates previous evidence. For example, a study </w:t>
      </w:r>
      <w:r w:rsidR="00894E0E" w:rsidRPr="007F78BA">
        <w:rPr>
          <w:rFonts w:ascii="Times New Roman" w:eastAsia="Times New Roman" w:hAnsi="Times New Roman" w:cs="Times New Roman"/>
          <w:lang w:val="en-GB"/>
        </w:rPr>
        <w:t xml:space="preserve">among the attendees of a clinic in Amsterdam reported that among HIV-negative MSM, sex-related drug use was associated with sexually transmitted infections (chlamydia, gonorrhoea, or syphilis) even after adjusting for high-risk sexual behaviour </w:t>
      </w:r>
      <w:r w:rsidR="00894E0E" w:rsidRPr="007F78BA">
        <w:rPr>
          <w:rFonts w:ascii="Times New Roman" w:eastAsia="Times New Roman" w:hAnsi="Times New Roman" w:cs="Times New Roman"/>
          <w:lang w:val="en-GB"/>
        </w:rPr>
        <w:fldChar w:fldCharType="begin"/>
      </w:r>
      <w:r w:rsidR="00894E0E" w:rsidRPr="007F78BA">
        <w:rPr>
          <w:rFonts w:ascii="Times New Roman" w:eastAsia="Times New Roman" w:hAnsi="Times New Roman" w:cs="Times New Roman"/>
          <w:lang w:val="en-GB"/>
        </w:rPr>
        <w:instrText xml:space="preserve"> ADDIN ZOTERO_ITEM CSL_CITATION {"citationID":"GR7Vs7hW","properties":{"formattedCitation":"(Heiligenberg et al., 2012)","plainCitation":"(Heiligenberg et al., 2012)","noteIndex":0},"citationItems":[{"id":1681,"uris":["http://zotero.org/users/5061103/items/H7HJQGQR"],"uri":["http://zotero.org/users/5061103/items/H7HJQGQR"],"itemData":{"id":1681,"type":"article-journal","container-title":"Sexually Transmitted Diseases","DOI":"10.1097/OLQ.0b013e3182515601","ISSN":"0148-5717","issue":"7","language":"en","page":"518-527","source":"DOI.org (Crossref)","title":"Recreational Drug Use During Sex and Sexually Transmitted Infections Among Clients of a City Sexually Transmitted Infections Clinic in Amsterdam, The Netherlands","volume":"39","author":[{"family":"Heiligenberg","given":"Marlies"},{"family":"Wermeling","given":"Paulien R."},{"family":"Rooijen","given":"Martijn S.","non-dropping-particle":"van"},{"family":"Urbanus","given":"Anouk T."},{"family":"Speksnijder","given":"Arjen G. C. L."},{"family":"Heijman","given":"Titia"},{"family":"Prins","given":"Maria"},{"family":"Coutinho","given":"Roel A."},{"family":"Loeff","given":"Maarten F. Schim","non-dropping-particle":"van der"}],"issued":{"date-parts":[["2012",7]]}}}],"schema":"https://github.com/citation-style-language/schema/raw/master/csl-citation.json"} </w:instrText>
      </w:r>
      <w:r w:rsidR="00894E0E" w:rsidRPr="007F78BA">
        <w:rPr>
          <w:rFonts w:ascii="Times New Roman" w:eastAsia="Times New Roman" w:hAnsi="Times New Roman" w:cs="Times New Roman"/>
          <w:lang w:val="en-GB"/>
        </w:rPr>
        <w:fldChar w:fldCharType="separate"/>
      </w:r>
      <w:r w:rsidR="00894E0E" w:rsidRPr="007F78BA">
        <w:rPr>
          <w:rFonts w:ascii="Times New Roman" w:eastAsia="Times New Roman" w:hAnsi="Times New Roman" w:cs="Times New Roman"/>
          <w:lang w:val="en-GB"/>
        </w:rPr>
        <w:t>(Heiligenberg et al., 2012)</w:t>
      </w:r>
      <w:r w:rsidR="00894E0E" w:rsidRPr="007F78BA">
        <w:rPr>
          <w:rFonts w:ascii="Times New Roman" w:eastAsia="Times New Roman" w:hAnsi="Times New Roman" w:cs="Times New Roman"/>
          <w:lang w:val="en-GB"/>
        </w:rPr>
        <w:fldChar w:fldCharType="end"/>
      </w:r>
      <w:r w:rsidR="00894E0E" w:rsidRPr="007F78BA">
        <w:rPr>
          <w:rFonts w:ascii="Times New Roman" w:eastAsia="Times New Roman" w:hAnsi="Times New Roman" w:cs="Times New Roman"/>
          <w:lang w:val="en-GB"/>
        </w:rPr>
        <w:t xml:space="preserve">. </w:t>
      </w:r>
      <w:r w:rsidR="0050240C" w:rsidRPr="007F78BA">
        <w:rPr>
          <w:rFonts w:ascii="Times New Roman" w:eastAsia="Times New Roman" w:hAnsi="Times New Roman" w:cs="Times New Roman"/>
          <w:lang w:val="en-GB"/>
        </w:rPr>
        <w:t xml:space="preserve">Another study showed that MSM </w:t>
      </w:r>
      <w:r w:rsidR="00BC74F8" w:rsidRPr="007F78BA">
        <w:rPr>
          <w:rFonts w:ascii="Times New Roman" w:eastAsia="Times New Roman" w:hAnsi="Times New Roman" w:cs="Times New Roman"/>
          <w:lang w:val="en-GB"/>
        </w:rPr>
        <w:t xml:space="preserve">in the UK </w:t>
      </w:r>
      <w:r w:rsidR="0050240C" w:rsidRPr="007F78BA">
        <w:rPr>
          <w:rFonts w:ascii="Times New Roman" w:eastAsia="Times New Roman" w:hAnsi="Times New Roman" w:cs="Times New Roman"/>
          <w:lang w:val="en-GB"/>
        </w:rPr>
        <w:t xml:space="preserve">who reported drug use were more likely to </w:t>
      </w:r>
      <w:r w:rsidR="00BC74F8" w:rsidRPr="007F78BA">
        <w:rPr>
          <w:rFonts w:ascii="Times New Roman" w:eastAsia="Times New Roman" w:hAnsi="Times New Roman" w:cs="Times New Roman"/>
          <w:lang w:val="en-GB"/>
        </w:rPr>
        <w:t xml:space="preserve">have condomless anal sex with a causal partner in the past year </w:t>
      </w:r>
      <w:r w:rsidR="00BC74F8" w:rsidRPr="007F78BA">
        <w:rPr>
          <w:rFonts w:ascii="Times New Roman" w:eastAsia="Times New Roman" w:hAnsi="Times New Roman" w:cs="Times New Roman"/>
          <w:lang w:val="en-GB"/>
        </w:rPr>
        <w:fldChar w:fldCharType="begin"/>
      </w:r>
      <w:r w:rsidR="00FA765C">
        <w:rPr>
          <w:rFonts w:ascii="Times New Roman" w:eastAsia="Times New Roman" w:hAnsi="Times New Roman" w:cs="Times New Roman"/>
          <w:lang w:val="en-GB"/>
        </w:rPr>
        <w:instrText xml:space="preserve"> ADDIN ZOTERO_ITEM CSL_CITATION {"citationID":"nuEBPhV4","properties":{"formattedCitation":"(Sewell et al., 2017)","plainCitation":"(Sewell et al., 2017)","noteIndex":0},"citationItems":[{"id":1682,"uris":["http://zotero.org/users/5061103/items/UXI5CB5N"],"uri":["http://zotero.org/users/5061103/items/UXI5CB5N"],"itemData":{"id":1682,"type":"article-journal","abstract":"Background: Recreational drug use and associated harms continue to be of signiﬁcant concern in men who have sex with men (MSM) particularly in the context of HIV and STI transmission.\nMethods: Data from 1484 HIV-negative or undiagnosed MSM included in the AURAH study, a crosssectional, self-completed questionnaire study of 2630 individuals from 20 sexual health clinics in the United Kingdom in 2013–2014, was analysed. Two measures of recreational drug use in the previous three months were deﬁned; (i) polydrug use (use of 3 or more recreational drugs) and (ii) chemsex drug use (use of mephedrone, crystal methamphetamine or GHB/GBL). Associations of socio-demographic, health and lifestyle factors with drug use, and associations of drug use with sexual behaviour, were investigated.\nResults: Of the 1484 MSM, 350 (23.6%) reported polydrug use and 324 (21.8%) reported chemsex drug use in the past three months. Overall 852 (57.5%) men reported condomless sex in the past three months; 430 (29.0%) had CLS with  2 partners, 474 (31.9%) had CLS with unknown/HIV+ partner(s); 187 (12.6%) had receptive CLS with an unknown status partner. For polydrug use, prevalence ratios (95% conﬁdence interval) for association with CLS measures, adjusted for socio-demographic factors were: 1.38 (1.26, 1.51) for CLS; 2.11 (1.80, 2.47) for CLS with  2 partners; 1.89 (1.63, 2.19) for CLS with unknown/HIV+ partner(s); 1.36 (1.00, 1.83) for receptive CLS with an unknown status partner. Corresponding adjusted prevalence ratios for chemsex drug use were: 1.38 (1.26, 1.52); 2.07 (1.76, 2.43); 1.88 (1.62, 2.19); 1.49 (1.10, 2.02). Polydrug and chemsex drug use were also strongly associated with previous STI, PEP use, group sex and high number of new sexual partners. Associations remained with little attenuation after further adjustment for depressive symptoms and alcohol intake.\nConclusion: There was a high prevalence of polydrug use and chemsex drug use among HIV negative MSM attending UK sexual health clinics. Drug use was strongly associated with sexual behaviours linked to risk of acquisition of STIs and HIV.","container-title":"International Journal of Drug Policy","DOI":"10.1016/j.drugpo.2017.01.001","ISSN":"09553959","journalAbbreviation":"International Journal of Drug Policy","language":"en","page":"33-43","source":"DOI.org (Crossref)","title":"Poly drug use, chemsex drug use, and associations with sexual risk behaviour in HIV-negative men who have sex with men attending sexual health clinics","volume":"43","author":[{"family":"Sewell","given":"Janey"},{"family":"Miltz","given":"Ada"},{"family":"Lampe","given":"Fiona C."},{"family":"Cambiano","given":"Valentina"},{"family":"Speakman","given":"Andrew"},{"family":"Phillips","given":"Andrew N."},{"family":"Stuart","given":"David"},{"family":"Gilson","given":"Richard"},{"family":"Asboe","given":"David"},{"family":"Nwokolo","given":"Nneka"},{"family":"Clarke","given":"Amanda"},{"family":"Collins","given":"Simon"},{"family":"Hart","given":"Graham"},{"family":"Elford","given":"Jonathan"},{"family":"Rodger","given":"Alison J."}],"issued":{"date-parts":[["2017",5]]}}}],"schema":"https://github.com/citation-style-language/schema/raw/master/csl-citation.json"} </w:instrText>
      </w:r>
      <w:r w:rsidR="00BC74F8" w:rsidRPr="007F78BA">
        <w:rPr>
          <w:rFonts w:ascii="Times New Roman" w:eastAsia="Times New Roman" w:hAnsi="Times New Roman" w:cs="Times New Roman"/>
          <w:lang w:val="en-GB"/>
        </w:rPr>
        <w:fldChar w:fldCharType="separate"/>
      </w:r>
      <w:r w:rsidR="00BC74F8" w:rsidRPr="007F78BA">
        <w:rPr>
          <w:rFonts w:ascii="Times New Roman" w:eastAsia="Times New Roman" w:hAnsi="Times New Roman" w:cs="Times New Roman"/>
          <w:lang w:val="en-GB"/>
        </w:rPr>
        <w:t>(Sewell et al., 2017)</w:t>
      </w:r>
      <w:r w:rsidR="00BC74F8" w:rsidRPr="007F78BA">
        <w:rPr>
          <w:rFonts w:ascii="Times New Roman" w:eastAsia="Times New Roman" w:hAnsi="Times New Roman" w:cs="Times New Roman"/>
          <w:lang w:val="en-GB"/>
        </w:rPr>
        <w:fldChar w:fldCharType="end"/>
      </w:r>
      <w:r w:rsidR="00BC74F8" w:rsidRPr="007F78BA">
        <w:rPr>
          <w:rFonts w:ascii="Times New Roman" w:eastAsia="Times New Roman" w:hAnsi="Times New Roman" w:cs="Times New Roman"/>
          <w:lang w:val="en-GB"/>
        </w:rPr>
        <w:t xml:space="preserve">. </w:t>
      </w:r>
      <w:r w:rsidR="000F1132" w:rsidRPr="007F78BA">
        <w:rPr>
          <w:rFonts w:ascii="Times New Roman" w:eastAsia="Times New Roman" w:hAnsi="Times New Roman" w:cs="Times New Roman"/>
          <w:lang w:val="en-GB"/>
        </w:rPr>
        <w:t>Similarly</w:t>
      </w:r>
      <w:r w:rsidR="004B3F6C" w:rsidRPr="007F78BA">
        <w:rPr>
          <w:rFonts w:ascii="Times New Roman" w:eastAsia="Times New Roman" w:hAnsi="Times New Roman" w:cs="Times New Roman"/>
          <w:lang w:val="en-GB"/>
        </w:rPr>
        <w:t xml:space="preserve">, we found that substance use recency mediated the relationship between IH and </w:t>
      </w:r>
      <w:r w:rsidR="00E93EC1">
        <w:rPr>
          <w:rFonts w:ascii="Times New Roman" w:eastAsia="Times New Roman" w:hAnsi="Times New Roman" w:cs="Times New Roman"/>
          <w:lang w:val="en-GB"/>
        </w:rPr>
        <w:t>SUIS</w:t>
      </w:r>
      <w:r w:rsidR="004B3F6C" w:rsidRPr="007F78BA">
        <w:rPr>
          <w:rFonts w:ascii="Times New Roman" w:eastAsia="Times New Roman" w:hAnsi="Times New Roman" w:cs="Times New Roman"/>
          <w:lang w:val="en-GB"/>
        </w:rPr>
        <w:t xml:space="preserve">. As IH increased, </w:t>
      </w:r>
      <w:r w:rsidR="00E93EC1">
        <w:rPr>
          <w:rFonts w:ascii="Times New Roman" w:eastAsia="Times New Roman" w:hAnsi="Times New Roman" w:cs="Times New Roman"/>
          <w:lang w:val="en-GB"/>
        </w:rPr>
        <w:t>SUIS</w:t>
      </w:r>
      <w:r w:rsidR="004B3F6C" w:rsidRPr="007F78BA">
        <w:rPr>
          <w:rFonts w:ascii="Times New Roman" w:eastAsia="Times New Roman" w:hAnsi="Times New Roman" w:cs="Times New Roman"/>
          <w:lang w:val="en-GB"/>
        </w:rPr>
        <w:t xml:space="preserve"> decreased; because higher IH predicted less recent use of substances and more recent use of substances predicted </w:t>
      </w:r>
      <w:r w:rsidR="00DE2C5F" w:rsidRPr="007F78BA">
        <w:rPr>
          <w:rFonts w:ascii="Times New Roman" w:eastAsia="Times New Roman" w:hAnsi="Times New Roman" w:cs="Times New Roman"/>
          <w:lang w:val="en-GB"/>
        </w:rPr>
        <w:t xml:space="preserve">more frequent </w:t>
      </w:r>
      <w:r w:rsidR="00E93EC1">
        <w:rPr>
          <w:rFonts w:ascii="Times New Roman" w:eastAsia="Times New Roman" w:hAnsi="Times New Roman" w:cs="Times New Roman"/>
          <w:lang w:val="en-GB"/>
        </w:rPr>
        <w:t>SUIS</w:t>
      </w:r>
      <w:r w:rsidR="00DE2C5F" w:rsidRPr="007F78BA">
        <w:rPr>
          <w:rFonts w:ascii="Times New Roman" w:eastAsia="Times New Roman" w:hAnsi="Times New Roman" w:cs="Times New Roman"/>
          <w:lang w:val="en-GB"/>
        </w:rPr>
        <w:t xml:space="preserve">. </w:t>
      </w:r>
      <w:r w:rsidR="005043A3">
        <w:rPr>
          <w:rFonts w:ascii="Times New Roman" w:eastAsia="Times New Roman" w:hAnsi="Times New Roman" w:cs="Times New Roman"/>
          <w:lang w:val="en-GB"/>
        </w:rPr>
        <w:t>This</w:t>
      </w:r>
      <w:r w:rsidR="005043A3" w:rsidRPr="007F78BA">
        <w:rPr>
          <w:rFonts w:ascii="Times New Roman" w:eastAsia="Times New Roman" w:hAnsi="Times New Roman" w:cs="Times New Roman"/>
          <w:lang w:val="en-GB"/>
        </w:rPr>
        <w:t xml:space="preserve"> </w:t>
      </w:r>
      <w:r w:rsidR="00264AF2" w:rsidRPr="007F78BA">
        <w:rPr>
          <w:rFonts w:ascii="Times New Roman" w:eastAsia="Times New Roman" w:hAnsi="Times New Roman" w:cs="Times New Roman"/>
          <w:lang w:val="en-GB"/>
        </w:rPr>
        <w:t xml:space="preserve">suggest that higher IH levels can protect MSM from the risk of </w:t>
      </w:r>
      <w:r w:rsidR="00E93EC1">
        <w:rPr>
          <w:rFonts w:ascii="Times New Roman" w:eastAsia="Times New Roman" w:hAnsi="Times New Roman" w:cs="Times New Roman"/>
          <w:lang w:val="en-GB"/>
        </w:rPr>
        <w:t>SUIS</w:t>
      </w:r>
      <w:r w:rsidR="00264AF2" w:rsidRPr="007F78BA">
        <w:rPr>
          <w:rFonts w:ascii="Times New Roman" w:eastAsia="Times New Roman" w:hAnsi="Times New Roman" w:cs="Times New Roman"/>
          <w:lang w:val="en-GB"/>
        </w:rPr>
        <w:t xml:space="preserve"> and SRB, indirectly. It is possible that this result emerged because MSM with higher IH in our sample perhaps are less likely to be involved in sexual intercourse with non-steady partners in the first place. </w:t>
      </w:r>
      <w:r w:rsidR="00F44755" w:rsidRPr="007F78BA">
        <w:rPr>
          <w:rFonts w:ascii="Times New Roman" w:eastAsia="Times New Roman" w:hAnsi="Times New Roman" w:cs="Times New Roman"/>
          <w:lang w:val="en-GB"/>
        </w:rPr>
        <w:t>Alternatively, it is possible these MSM are less likely to attend gay or queer specific venues, where substance use is frequent</w:t>
      </w:r>
      <w:r w:rsidR="003F0188" w:rsidRPr="007F78BA">
        <w:rPr>
          <w:rFonts w:ascii="Times New Roman" w:eastAsia="Times New Roman" w:hAnsi="Times New Roman" w:cs="Times New Roman"/>
          <w:lang w:val="en-GB"/>
        </w:rPr>
        <w:t>, as</w:t>
      </w:r>
      <w:r w:rsidR="00F44755" w:rsidRPr="007F78BA">
        <w:rPr>
          <w:rFonts w:ascii="Times New Roman" w:eastAsia="Times New Roman" w:hAnsi="Times New Roman" w:cs="Times New Roman"/>
          <w:lang w:val="en-GB"/>
        </w:rPr>
        <w:t xml:space="preserve"> </w:t>
      </w:r>
      <w:r w:rsidR="003F0188" w:rsidRPr="007F78BA">
        <w:rPr>
          <w:rFonts w:ascii="Times New Roman" w:eastAsia="Times New Roman" w:hAnsi="Times New Roman" w:cs="Times New Roman"/>
          <w:lang w:val="en-GB"/>
        </w:rPr>
        <w:t xml:space="preserve">some studies suggest that community attachment for gay men is directly linked with substance use </w:t>
      </w:r>
      <w:r w:rsidR="003F0188" w:rsidRPr="007F78BA">
        <w:rPr>
          <w:rFonts w:ascii="Times New Roman" w:eastAsia="Times New Roman" w:hAnsi="Times New Roman" w:cs="Times New Roman"/>
          <w:lang w:val="en-GB"/>
        </w:rPr>
        <w:fldChar w:fldCharType="begin"/>
      </w:r>
      <w:r w:rsidR="00F33597">
        <w:rPr>
          <w:rFonts w:ascii="Times New Roman" w:eastAsia="Times New Roman" w:hAnsi="Times New Roman" w:cs="Times New Roman"/>
          <w:lang w:val="en-GB"/>
        </w:rPr>
        <w:instrText xml:space="preserve"> ADDIN ZOTERO_ITEM CSL_CITATION {"citationID":"hFdMGHmu","properties":{"formattedCitation":"(Carpiano et al., 2011; Moody et al., 2018)","plainCitation":"(Carpiano et al., 2011; Moody et al., 2018)","noteIndex":0},"citationItems":[{"id":319,"uris":["http://zotero.org/users/5061103/items/AQG9PJK9"],"uri":["http://zotero.org/users/5061103/items/AQG9PJK9"],"itemData":{"id":319,"type":"article-journal","abstract":"Gay nneeiigghhbboorrhhooooddss sseerrvveeaassvvititalalpplalcaecsesfofrorgagyaymm ene'ns 'soscoiacliiazliinzign,gy,eyt eftew fewstusdtiuedsiehsavheaveexaemxai conttrriibbuuttiioonnss ttoo ggaayymmeenn's'shheealatlhth——eietihthererdidriercetcltylyororinidnidreircetclytlyviaviraesriedseindtesn'tsso' csioacl inaletnweotrwko from m tthheeoorreettiiccaall ppeerrssppeeccttiviveessoonncocm ommmununitiytyanadndnentewtowrokrsk, sw, ewteestteshtyhpyopthoetsheessecsonccoenrcneirnnginwgh neigghhbboorrhhooooddss aanndd ssoocciaiallnneettwwoorrkkffacatcotrosrsaraereasassoscoicatiaetdedwiwthithpapttaetrtenrsnosforfecreencteniltliiclilticditrudgruu a sam mppllee ooff 774400 uurrbbaannggaayymmeennffrrom omNNewewYoYrokrkCiCtiyt.yH. iHgihgehrerododdsdosfodfrdurguugseusweew reeroebsoebrsveer indivviidduuaallss wwhhoo rreessiiddeeddininggaayynneiegighhbborohrhooodosd,s,hahdadnentewtowrokrskcsocmopmopseodsepdrpedroem doim nainntalnytloyf oofthoetrhge and hhaadd iinnccrreeaasseedd ssoocciaialilzizaattioionnwwitihthggayaymmene.nN. Netewtw orokrkfafcatcotrosrdsidindontom t emdieadtieataessaoscsioatcioatnisonbse neigghhbboorrhhooooddss aanndd ddrruugguussee. .TThheseeseffinindidningsgshihgihglhiglihgththtehne eneededtotboebtteetrtecroncotenxtteuxatluizaeliztehethhee facedd bbyy ggaayy mmeenn bbyyaaccccoouunnttininggffororbbotohthneniegihgbhobrohrohoododanadndnentw etowrokrsktrsutrctuucrteusr.es.","container-title":"Journal of Health and Social Behavior","DOI":"10.1177/0022146510395026","ISSN":"0022-1465, 2150-6000","issue":"1","language":"en","page":"74-90","source":"Crossref","title":"Community and Drug Use among Gay Men: The Role of Neighborhoods and Networks","title-short":"Community and Drug Use among Gay Men","volume":"52","author":[{"family":"Carpiano","given":"Richard M."},{"family":"Kelly","given":"Brian C."},{"family":"Easterbrook","given":"Adam"},{"family":"Parsons","given":"Jeffrey T."}],"issued":{"date-parts":[["2011",3]]}}},{"id":10,"uris":["http://zotero.org/users/5061103/items/SDKBIWWS"],"uri":["http://zotero.org/users/5061103/items/SDKBIWWS"],"itemData":{"id":10,"type":"article-journal","container-title":"Archives of Sexual Behavior","DOI":"10.1007/s10508-017-1009-2","ISSN":"0004-0002, 1573-2800","issue":"4","journalAbbreviation":"Arch Sex Behav","language":"en","page":"1133-1144","source":"DOI.org (Crossref)","title":"Internalized Homophobia and Drug Use in a National Cohort of Gay and Bisexual Men: Examining Depression, Sexual Anxiety, and Gay Community Attachment as Mediating Factors","title-short":"Internalized Homophobia and Drug Use in a National Cohort of Gay and Bisexual Men","volume":"47","author":[{"family":"Moody","given":"Raymond L."},{"family":"Starks","given":"Tyrel J."},{"family":"Grov","given":"Christian"},{"family":"Parsons","given":"Jeffrey T."}],"issued":{"date-parts":[["2018",5]]}}}],"schema":"https://github.com/citation-style-language/schema/raw/master/csl-citation.json"} </w:instrText>
      </w:r>
      <w:r w:rsidR="003F0188" w:rsidRPr="007F78BA">
        <w:rPr>
          <w:rFonts w:ascii="Times New Roman" w:eastAsia="Times New Roman" w:hAnsi="Times New Roman" w:cs="Times New Roman"/>
          <w:lang w:val="en-GB"/>
        </w:rPr>
        <w:fldChar w:fldCharType="separate"/>
      </w:r>
      <w:r w:rsidR="003F0188" w:rsidRPr="007F78BA">
        <w:rPr>
          <w:rFonts w:ascii="Times New Roman" w:eastAsia="Times New Roman" w:hAnsi="Times New Roman" w:cs="Times New Roman"/>
          <w:lang w:val="en-GB"/>
        </w:rPr>
        <w:t>(Carpiano et al., 2011; Moody et al., 2018)</w:t>
      </w:r>
      <w:r w:rsidR="003F0188" w:rsidRPr="007F78BA">
        <w:rPr>
          <w:rFonts w:ascii="Times New Roman" w:eastAsia="Times New Roman" w:hAnsi="Times New Roman" w:cs="Times New Roman"/>
          <w:lang w:val="en-GB"/>
        </w:rPr>
        <w:fldChar w:fldCharType="end"/>
      </w:r>
      <w:r w:rsidR="003F0188" w:rsidRPr="007F78BA">
        <w:rPr>
          <w:rFonts w:ascii="Times New Roman" w:eastAsia="Times New Roman" w:hAnsi="Times New Roman" w:cs="Times New Roman"/>
          <w:lang w:val="en-GB"/>
        </w:rPr>
        <w:t>.</w:t>
      </w:r>
    </w:p>
    <w:p w14:paraId="519223C3" w14:textId="3EA6F18A" w:rsidR="002D131A" w:rsidRPr="0034284D" w:rsidRDefault="003F0188" w:rsidP="0034284D">
      <w:pPr>
        <w:spacing w:line="276" w:lineRule="auto"/>
        <w:ind w:firstLine="720"/>
        <w:jc w:val="both"/>
        <w:rPr>
          <w:rFonts w:ascii="Times New Roman" w:eastAsia="Times New Roman" w:hAnsi="Times New Roman" w:cs="Times New Roman"/>
          <w:lang w:val="en-GB"/>
        </w:rPr>
      </w:pPr>
      <w:r w:rsidRPr="007F78BA">
        <w:rPr>
          <w:rFonts w:ascii="Times New Roman" w:eastAsia="Times New Roman" w:hAnsi="Times New Roman" w:cs="Times New Roman"/>
          <w:lang w:val="en-GB"/>
        </w:rPr>
        <w:t xml:space="preserve"> </w:t>
      </w:r>
    </w:p>
    <w:p w14:paraId="5AD65AA9" w14:textId="5489ED32" w:rsidR="00C70174" w:rsidRDefault="008A7703" w:rsidP="0074075E">
      <w:pPr>
        <w:pStyle w:val="Overskrift2"/>
        <w:rPr>
          <w:lang w:val="en-GB"/>
        </w:rPr>
      </w:pPr>
      <w:r>
        <w:rPr>
          <w:lang w:val="en-GB"/>
        </w:rPr>
        <w:t xml:space="preserve">Strengths and </w:t>
      </w:r>
      <w:r w:rsidR="0093332A" w:rsidRPr="007F78BA">
        <w:rPr>
          <w:lang w:val="en-GB"/>
        </w:rPr>
        <w:t>Limitation</w:t>
      </w:r>
      <w:r w:rsidR="007A34C0">
        <w:rPr>
          <w:lang w:val="en-GB"/>
        </w:rPr>
        <w:t>s</w:t>
      </w:r>
    </w:p>
    <w:p w14:paraId="272BC832" w14:textId="771B8434" w:rsidR="008A7703" w:rsidRDefault="00C70174" w:rsidP="007A34C0">
      <w:pPr>
        <w:spacing w:line="276" w:lineRule="auto"/>
        <w:ind w:firstLine="720"/>
        <w:jc w:val="both"/>
        <w:rPr>
          <w:rFonts w:ascii="Times New Roman" w:eastAsia="Times New Roman" w:hAnsi="Times New Roman" w:cs="Times New Roman"/>
          <w:lang w:val="en-GB"/>
        </w:rPr>
      </w:pPr>
      <w:r w:rsidRPr="00691320">
        <w:rPr>
          <w:rFonts w:ascii="Times New Roman" w:eastAsia="Times New Roman" w:hAnsi="Times New Roman" w:cs="Times New Roman"/>
          <w:lang w:val="en-GB"/>
        </w:rPr>
        <w:t xml:space="preserve">Our study has several methodological strengths, including being </w:t>
      </w:r>
      <w:r w:rsidR="004E1BF1" w:rsidRPr="00691320">
        <w:rPr>
          <w:rFonts w:ascii="Times New Roman" w:eastAsia="Times New Roman" w:hAnsi="Times New Roman" w:cs="Times New Roman"/>
          <w:lang w:val="en-GB"/>
        </w:rPr>
        <w:t xml:space="preserve">one of </w:t>
      </w:r>
      <w:r w:rsidRPr="00691320">
        <w:rPr>
          <w:rFonts w:ascii="Times New Roman" w:eastAsia="Times New Roman" w:hAnsi="Times New Roman" w:cs="Times New Roman"/>
          <w:lang w:val="en-GB"/>
        </w:rPr>
        <w:t xml:space="preserve">the largest </w:t>
      </w:r>
      <w:r w:rsidR="00807B3D" w:rsidRPr="00691320">
        <w:rPr>
          <w:rFonts w:ascii="Times New Roman" w:eastAsia="Times New Roman" w:hAnsi="Times New Roman" w:cs="Times New Roman"/>
          <w:lang w:val="en-GB"/>
        </w:rPr>
        <w:t>datasets</w:t>
      </w:r>
      <w:r w:rsidRPr="00691320">
        <w:rPr>
          <w:rFonts w:ascii="Times New Roman" w:eastAsia="Times New Roman" w:hAnsi="Times New Roman" w:cs="Times New Roman"/>
          <w:lang w:val="en-GB"/>
        </w:rPr>
        <w:t xml:space="preserve"> of MSM living in </w:t>
      </w:r>
      <w:r w:rsidR="004E1BF1" w:rsidRPr="00691320">
        <w:rPr>
          <w:rFonts w:ascii="Times New Roman" w:eastAsia="Times New Roman" w:hAnsi="Times New Roman" w:cs="Times New Roman"/>
          <w:lang w:val="en-GB"/>
        </w:rPr>
        <w:t>Turkey (the 2010 wave of EMIS had slightly more respondents in Turkey)</w:t>
      </w:r>
      <w:r w:rsidRPr="00691320">
        <w:rPr>
          <w:rFonts w:ascii="Times New Roman" w:eastAsia="Times New Roman" w:hAnsi="Times New Roman" w:cs="Times New Roman"/>
          <w:lang w:val="en-GB"/>
        </w:rPr>
        <w:t xml:space="preserve"> and use of SEM.</w:t>
      </w:r>
      <w:r w:rsidR="007A34C0">
        <w:rPr>
          <w:rFonts w:ascii="Times New Roman" w:eastAsia="Times New Roman" w:hAnsi="Times New Roman" w:cs="Times New Roman"/>
          <w:lang w:val="en-GB"/>
        </w:rPr>
        <w:t xml:space="preserve"> </w:t>
      </w:r>
      <w:r w:rsidR="007A34C0" w:rsidRPr="007A34C0">
        <w:rPr>
          <w:rFonts w:ascii="Times New Roman" w:eastAsia="Times New Roman" w:hAnsi="Times New Roman" w:cs="Times New Roman"/>
          <w:lang w:val="en-GB"/>
        </w:rPr>
        <w:t>We use</w:t>
      </w:r>
      <w:r w:rsidR="005043A3">
        <w:rPr>
          <w:rFonts w:ascii="Times New Roman" w:eastAsia="Times New Roman" w:hAnsi="Times New Roman" w:cs="Times New Roman"/>
          <w:lang w:val="en-GB"/>
        </w:rPr>
        <w:t>d</w:t>
      </w:r>
      <w:r w:rsidR="007A34C0" w:rsidRPr="007A34C0">
        <w:rPr>
          <w:rFonts w:ascii="Times New Roman" w:eastAsia="Times New Roman" w:hAnsi="Times New Roman" w:cs="Times New Roman"/>
          <w:lang w:val="en-GB"/>
        </w:rPr>
        <w:t xml:space="preserve"> recency time formats (when did you last…) for substance use variables, which reduces the chance of recall bias</w:t>
      </w:r>
      <w:r w:rsidR="005043A3">
        <w:rPr>
          <w:rFonts w:ascii="Times New Roman" w:eastAsia="Times New Roman" w:hAnsi="Times New Roman" w:cs="Times New Roman"/>
          <w:lang w:val="en-GB"/>
        </w:rPr>
        <w:t xml:space="preserve">. </w:t>
      </w:r>
      <w:r w:rsidR="008A7703">
        <w:rPr>
          <w:rFonts w:ascii="Times New Roman" w:eastAsia="Times New Roman" w:hAnsi="Times New Roman" w:cs="Times New Roman"/>
          <w:lang w:val="en-GB"/>
        </w:rPr>
        <w:t>Unlike f</w:t>
      </w:r>
      <w:r w:rsidR="007A34C0" w:rsidRPr="007A34C0">
        <w:rPr>
          <w:rFonts w:ascii="Times New Roman" w:eastAsia="Times New Roman" w:hAnsi="Times New Roman" w:cs="Times New Roman"/>
          <w:lang w:val="en-GB"/>
        </w:rPr>
        <w:t>requency formats</w:t>
      </w:r>
      <w:r w:rsidR="008A7703">
        <w:rPr>
          <w:rFonts w:ascii="Times New Roman" w:eastAsia="Times New Roman" w:hAnsi="Times New Roman" w:cs="Times New Roman"/>
          <w:lang w:val="en-GB"/>
        </w:rPr>
        <w:t>, recency format is intuitive</w:t>
      </w:r>
      <w:r w:rsidR="007A34C0" w:rsidRPr="007A34C0">
        <w:rPr>
          <w:rFonts w:ascii="Times New Roman" w:eastAsia="Times New Roman" w:hAnsi="Times New Roman" w:cs="Times New Roman"/>
          <w:lang w:val="en-GB"/>
        </w:rPr>
        <w:t xml:space="preserve"> for most people. Similarly, there is no recall bias in </w:t>
      </w:r>
      <w:r w:rsidR="008A7703">
        <w:rPr>
          <w:rFonts w:ascii="Times New Roman" w:eastAsia="Times New Roman" w:hAnsi="Times New Roman" w:cs="Times New Roman"/>
          <w:lang w:val="en-GB"/>
        </w:rPr>
        <w:t xml:space="preserve">questions about </w:t>
      </w:r>
      <w:r w:rsidR="007A34C0" w:rsidRPr="007A34C0">
        <w:rPr>
          <w:rFonts w:ascii="Times New Roman" w:eastAsia="Times New Roman" w:hAnsi="Times New Roman" w:cs="Times New Roman"/>
          <w:lang w:val="en-GB"/>
        </w:rPr>
        <w:t>knowledge</w:t>
      </w:r>
      <w:r w:rsidR="008A7703">
        <w:rPr>
          <w:rFonts w:ascii="Times New Roman" w:eastAsia="Times New Roman" w:hAnsi="Times New Roman" w:cs="Times New Roman"/>
          <w:lang w:val="en-GB"/>
        </w:rPr>
        <w:t xml:space="preserve"> and t</w:t>
      </w:r>
      <w:r w:rsidR="007A34C0" w:rsidRPr="007A34C0">
        <w:rPr>
          <w:rFonts w:ascii="Times New Roman" w:eastAsia="Times New Roman" w:hAnsi="Times New Roman" w:cs="Times New Roman"/>
          <w:lang w:val="en-GB"/>
        </w:rPr>
        <w:t xml:space="preserve">he proportion of sex under the influence of substances. </w:t>
      </w:r>
      <w:r w:rsidR="008A7703">
        <w:rPr>
          <w:rFonts w:ascii="Times New Roman" w:eastAsia="Times New Roman" w:hAnsi="Times New Roman" w:cs="Times New Roman"/>
          <w:lang w:val="en-GB"/>
        </w:rPr>
        <w:t>While a</w:t>
      </w:r>
      <w:r w:rsidR="007A34C0" w:rsidRPr="007A34C0">
        <w:rPr>
          <w:rFonts w:ascii="Times New Roman" w:eastAsia="Times New Roman" w:hAnsi="Times New Roman" w:cs="Times New Roman"/>
          <w:lang w:val="en-GB"/>
        </w:rPr>
        <w:t xml:space="preserve">ccurately reporting partner numbers is generally a </w:t>
      </w:r>
      <w:r w:rsidR="008A7703">
        <w:rPr>
          <w:rFonts w:ascii="Times New Roman" w:eastAsia="Times New Roman" w:hAnsi="Times New Roman" w:cs="Times New Roman"/>
          <w:lang w:val="en-GB"/>
        </w:rPr>
        <w:t>challenge, we do not believe this a</w:t>
      </w:r>
      <w:r w:rsidR="007A34C0" w:rsidRPr="007A34C0">
        <w:rPr>
          <w:rFonts w:ascii="Times New Roman" w:eastAsia="Times New Roman" w:hAnsi="Times New Roman" w:cs="Times New Roman"/>
          <w:lang w:val="en-GB"/>
        </w:rPr>
        <w:t>ffect</w:t>
      </w:r>
      <w:r w:rsidR="008A7703">
        <w:rPr>
          <w:rFonts w:ascii="Times New Roman" w:eastAsia="Times New Roman" w:hAnsi="Times New Roman" w:cs="Times New Roman"/>
          <w:lang w:val="en-GB"/>
        </w:rPr>
        <w:t>s</w:t>
      </w:r>
      <w:r w:rsidR="007A34C0" w:rsidRPr="007A34C0">
        <w:rPr>
          <w:rFonts w:ascii="Times New Roman" w:eastAsia="Times New Roman" w:hAnsi="Times New Roman" w:cs="Times New Roman"/>
          <w:lang w:val="en-GB"/>
        </w:rPr>
        <w:t xml:space="preserve"> our </w:t>
      </w:r>
      <w:r w:rsidR="007A34C0" w:rsidRPr="007A34C0">
        <w:rPr>
          <w:rFonts w:ascii="Times New Roman" w:eastAsia="Times New Roman" w:hAnsi="Times New Roman" w:cs="Times New Roman"/>
          <w:lang w:val="en-GB"/>
        </w:rPr>
        <w:lastRenderedPageBreak/>
        <w:t xml:space="preserve">conclusions. Another strength of this </w:t>
      </w:r>
      <w:r w:rsidR="008A7703">
        <w:rPr>
          <w:rFonts w:ascii="Times New Roman" w:eastAsia="Times New Roman" w:hAnsi="Times New Roman" w:cs="Times New Roman"/>
          <w:lang w:val="en-GB"/>
        </w:rPr>
        <w:t>study</w:t>
      </w:r>
      <w:r w:rsidR="008A7703" w:rsidRPr="007A34C0">
        <w:rPr>
          <w:rFonts w:ascii="Times New Roman" w:eastAsia="Times New Roman" w:hAnsi="Times New Roman" w:cs="Times New Roman"/>
          <w:lang w:val="en-GB"/>
        </w:rPr>
        <w:t xml:space="preserve"> </w:t>
      </w:r>
      <w:r w:rsidR="007A34C0" w:rsidRPr="007A34C0">
        <w:rPr>
          <w:rFonts w:ascii="Times New Roman" w:eastAsia="Times New Roman" w:hAnsi="Times New Roman" w:cs="Times New Roman"/>
          <w:lang w:val="en-GB"/>
        </w:rPr>
        <w:t>lies in its anonymous character, through which the risk of social desirability bias is reduced (as opposed to the interview setting).</w:t>
      </w:r>
      <w:r w:rsidR="007A34C0">
        <w:rPr>
          <w:rFonts w:ascii="Times New Roman" w:eastAsia="Times New Roman" w:hAnsi="Times New Roman" w:cs="Times New Roman"/>
          <w:lang w:val="en-GB"/>
        </w:rPr>
        <w:t xml:space="preserve"> </w:t>
      </w:r>
    </w:p>
    <w:p w14:paraId="5FEA1E38" w14:textId="75ABBDAB" w:rsidR="00C70174" w:rsidRPr="007A34C0" w:rsidRDefault="00C70174" w:rsidP="007A34C0">
      <w:pPr>
        <w:spacing w:line="276" w:lineRule="auto"/>
        <w:ind w:firstLine="720"/>
        <w:jc w:val="both"/>
        <w:rPr>
          <w:rFonts w:ascii="Times New Roman" w:eastAsia="Times New Roman" w:hAnsi="Times New Roman" w:cs="Times New Roman"/>
          <w:lang w:val="en-GB"/>
        </w:rPr>
      </w:pPr>
      <w:r w:rsidRPr="00691320">
        <w:rPr>
          <w:rFonts w:ascii="Times New Roman" w:eastAsia="Times New Roman" w:hAnsi="Times New Roman" w:cs="Times New Roman"/>
          <w:lang w:val="en-GB"/>
        </w:rPr>
        <w:t xml:space="preserve">We also </w:t>
      </w:r>
      <w:r w:rsidR="008A7703">
        <w:rPr>
          <w:rFonts w:ascii="Times New Roman" w:eastAsia="Times New Roman" w:hAnsi="Times New Roman" w:cs="Times New Roman"/>
          <w:lang w:val="en-GB"/>
        </w:rPr>
        <w:t>acknowledge that the study has</w:t>
      </w:r>
      <w:r w:rsidRPr="00691320">
        <w:rPr>
          <w:rFonts w:ascii="Times New Roman" w:eastAsia="Times New Roman" w:hAnsi="Times New Roman" w:cs="Times New Roman"/>
          <w:lang w:val="en-GB"/>
        </w:rPr>
        <w:t xml:space="preserve"> limitations. While we used a large, diverse sample of MSM, the data come from a non-probability sample, potentially limiting generalizability, especially to those who are older, have lower education, fewer LGBT community attachments, or are more likely to conceal their sexual orientation</w:t>
      </w:r>
      <w:r w:rsidR="00496A4F">
        <w:rPr>
          <w:rFonts w:ascii="Times New Roman" w:eastAsia="Times New Roman" w:hAnsi="Times New Roman" w:cs="Times New Roman"/>
          <w:lang w:val="en-GB"/>
        </w:rPr>
        <w:t xml:space="preserve"> </w:t>
      </w:r>
      <w:r w:rsidR="00496A4F">
        <w:rPr>
          <w:rFonts w:ascii="Times New Roman" w:eastAsia="Times New Roman" w:hAnsi="Times New Roman" w:cs="Times New Roman"/>
          <w:lang w:val="en-GB"/>
        </w:rPr>
        <w:fldChar w:fldCharType="begin"/>
      </w:r>
      <w:r w:rsidR="00496A4F">
        <w:rPr>
          <w:rFonts w:ascii="Times New Roman" w:eastAsia="Times New Roman" w:hAnsi="Times New Roman" w:cs="Times New Roman"/>
          <w:lang w:val="en-GB"/>
        </w:rPr>
        <w:instrText xml:space="preserve"> ADDIN ZOTERO_ITEM CSL_CITATION {"citationID":"tmPf4YAi","properties":{"formattedCitation":"(Prah et al., 2016)","plainCitation":"(Prah et al., 2016)","noteIndex":0},"citationItems":[{"id":20,"uris":["http://zotero.org/users/5061103/items/IKFNVNMI"],"uri":["http://zotero.org/users/5061103/items/IKFNVNMI"],"itemData":{"id":20,"type":"article-journal","abstract":"Objective To examine sociodemographic and behavioural differences between men who have sex with men (MSM) participating in recent UK convenience surveys and a national probability sample survey.\nMethods We compared 148 MSM aged 18–64 years interviewed for Britain’s third National Survey of Sexual Attitudes and Lifestyles (Natsal-3) undertaken in 2010–2012, with men in the same age range participating in contemporaneous convenience surveys of MSM: 15 500 British resident men in the European MSM Internet Survey (EMIS); 797 in the London Gay Men’s Sexual Health Survey; and 1234 in Scotland’s Gay Men’s Sexual Health Survey. Analyses compared men reporting at least one male sexual partner ( past year) on similarly worded questions and multivariable analyses accounted for sociodemographic differences between the surveys.\nResults MSM in convenience surveys were younger and better educated than MSM in Natsal-3, and a larger proportion identiﬁed as gay (85%–95% vs 62%). Partner numbers were higher and same-sex anal sex more common in convenience surveys. Unprotected anal intercourse was more commonly reported in EMIS. Compared with Natsal-3, MSM in convenience surveys were more likely to report gonorrhoea diagnoses and HIV testing (both past year). Differences between the samples were reduced when restricting analysis to gayidentifying MSM.\nConclusions National probability surveys better reﬂect the population of MSM but are limited by their smaller samples of MSM. Convenience surveys recruit larger samples of MSM but tend to over-represent MSM identifying as gay and reporting more sexual risk behaviours. Because both sampling strategies have strengths and weaknesses, methods are needed to triangulate data from probability and convenience surveys.","container-title":"Sexually Transmitted Infections","DOI":"10.1136/sextrans-2015-052389","ISSN":"1368-4973, 1472-3263","issue":"6","journalAbbreviation":"Sex Transm Infect","language":"en","page":"455-463","source":"DOI.org (Crossref)","title":"Men who have sex with men in Great Britain: comparing methods and estimates from probability and convenience sample surveys","title-short":"Men who have sex with men in Great Britain","volume":"92","author":[{"family":"Prah","given":"Philip"},{"family":"Hickson","given":"Ford"},{"family":"Bonell","given":"Chris"},{"family":"McDaid","given":"Lisa M"},{"family":"Johnson","given":"Anne M"},{"family":"Wayal","given":"Sonali"},{"family":"Clifton","given":"Soazig"},{"family":"Sonnenberg","given":"Pam"},{"family":"Nardone","given":"Anthony"},{"family":"Erens","given":"Bob"},{"family":"Copas","given":"Andrew J"},{"family":"Riddell","given":"Julie"},{"family":"Weatherburn","given":"Peter"},{"family":"Mercer","given":"Catherine H"}],"issued":{"date-parts":[["2016",9]]}}}],"schema":"https://github.com/citation-style-language/schema/raw/master/csl-citation.json"} </w:instrText>
      </w:r>
      <w:r w:rsidR="00496A4F">
        <w:rPr>
          <w:rFonts w:ascii="Times New Roman" w:eastAsia="Times New Roman" w:hAnsi="Times New Roman" w:cs="Times New Roman"/>
          <w:lang w:val="en-GB"/>
        </w:rPr>
        <w:fldChar w:fldCharType="separate"/>
      </w:r>
      <w:r w:rsidR="00496A4F">
        <w:rPr>
          <w:rFonts w:ascii="Times New Roman" w:eastAsia="Times New Roman" w:hAnsi="Times New Roman" w:cs="Times New Roman"/>
          <w:noProof/>
          <w:lang w:val="en-GB"/>
        </w:rPr>
        <w:t>(Prah et al., 2016)</w:t>
      </w:r>
      <w:r w:rsidR="00496A4F">
        <w:rPr>
          <w:rFonts w:ascii="Times New Roman" w:eastAsia="Times New Roman" w:hAnsi="Times New Roman" w:cs="Times New Roman"/>
          <w:lang w:val="en-GB"/>
        </w:rPr>
        <w:fldChar w:fldCharType="end"/>
      </w:r>
      <w:r w:rsidRPr="00691320">
        <w:rPr>
          <w:rFonts w:ascii="Times New Roman" w:eastAsia="Times New Roman" w:hAnsi="Times New Roman" w:cs="Times New Roman"/>
          <w:lang w:val="en-GB"/>
        </w:rPr>
        <w:t>. Yet, our analyses assume that the distribution of variables in the EMIS-2017 sample matches the distribution of these variables in the population. Further, non-probability sampling can also lead to higher estimates of sexual risk, drug use, or knowledge among MSM. These concerns are somewhat attenuated given that the present study was not focused on establishing population estimates or risk behaviours, HIV/</w:t>
      </w:r>
      <w:proofErr w:type="spellStart"/>
      <w:r w:rsidRPr="00691320">
        <w:rPr>
          <w:rFonts w:ascii="Times New Roman" w:eastAsia="Times New Roman" w:hAnsi="Times New Roman" w:cs="Times New Roman"/>
          <w:lang w:val="en-GB"/>
        </w:rPr>
        <w:t>PrEP</w:t>
      </w:r>
      <w:proofErr w:type="spellEnd"/>
      <w:r w:rsidRPr="00691320">
        <w:rPr>
          <w:rFonts w:ascii="Times New Roman" w:eastAsia="Times New Roman" w:hAnsi="Times New Roman" w:cs="Times New Roman"/>
          <w:lang w:val="en-GB"/>
        </w:rPr>
        <w:t xml:space="preserve"> knowledge, or </w:t>
      </w:r>
      <w:proofErr w:type="spellStart"/>
      <w:r w:rsidRPr="00691320">
        <w:rPr>
          <w:rFonts w:ascii="Times New Roman" w:eastAsia="Times New Roman" w:hAnsi="Times New Roman" w:cs="Times New Roman"/>
          <w:lang w:val="en-GB"/>
        </w:rPr>
        <w:t>IH</w:t>
      </w:r>
      <w:proofErr w:type="spellEnd"/>
      <w:r w:rsidRPr="00691320">
        <w:rPr>
          <w:rFonts w:ascii="Times New Roman" w:eastAsia="Times New Roman" w:hAnsi="Times New Roman" w:cs="Times New Roman"/>
          <w:lang w:val="en-GB"/>
        </w:rPr>
        <w:t xml:space="preserve">, but instead sought to examine associations among variables, for which non-probability sampling is more appropriate </w:t>
      </w:r>
      <w:r w:rsidRPr="00691320">
        <w:rPr>
          <w:rFonts w:ascii="Times New Roman" w:eastAsia="Times New Roman" w:hAnsi="Times New Roman" w:cs="Times New Roman"/>
          <w:lang w:val="en-GB"/>
        </w:rPr>
        <w:fldChar w:fldCharType="begin"/>
      </w:r>
      <w:r w:rsidR="00FA765C" w:rsidRPr="00691320">
        <w:rPr>
          <w:rFonts w:ascii="Times New Roman" w:eastAsia="Times New Roman" w:hAnsi="Times New Roman" w:cs="Times New Roman"/>
          <w:lang w:val="en-GB"/>
        </w:rPr>
        <w:instrText xml:space="preserve"> ADDIN ZOTERO_ITEM CSL_CITATION {"citationID":"b7y9SRh3","properties":{"formattedCitation":"(Meyer &amp; Wilson, 2009)","plainCitation":"(Meyer &amp; Wilson, 2009)","noteIndex":0},"citationItems":[{"id":21,"uris":["http://zotero.org/users/5061103/items/L922CIRI"],"uri":["http://zotero.org/users/5061103/items/L922CIRI"],"itemData":{"id":21,"type":"article-journal","abstract":"Sampling has been the single most influential component of conducting research with lesbian, gay, and bisexual (LGB) populations. Poor sampling designs can result in biased results that will mislead other researchers, policymakers, and practitioners. Investigators wishing to study LGB populations must therefore devote significant energy and resources to choosing a sampling approach and executing the sampling plan. The authors describe probability and nonprobability sampling methods used in LGB populations and critically discuss the advantages and disadvantages of the sampling methods they review. The authors conclude that no single sampling methodology is correct or incorrect for use in LGB populations; rather, researchers must evaluate advantages and disadvantages of each sampling methodology in the context of the specific research question and the research design.","container-title":"Journal of Counseling Psychology","DOI":"10.1037/a0014587","ISSN":"1939-2168, 0022-0167","issue":"1","journalAbbreviation":"Journal of Counseling Psychology","language":"en","page":"23-31","source":"DOI.org (Crossref)","title":"Sampling lesbian, gay, and bisexual populations.","volume":"56","author":[{"family":"Meyer","given":"Ilan H."},{"family":"Wilson","given":"Patrick A."}],"issued":{"date-parts":[["2009"]]}}}],"schema":"https://github.com/citation-style-language/schema/raw/master/csl-citation.json"} </w:instrText>
      </w:r>
      <w:r w:rsidRPr="00691320">
        <w:rPr>
          <w:rFonts w:ascii="Times New Roman" w:eastAsia="Times New Roman" w:hAnsi="Times New Roman" w:cs="Times New Roman"/>
          <w:lang w:val="en-GB"/>
        </w:rPr>
        <w:fldChar w:fldCharType="separate"/>
      </w:r>
      <w:r w:rsidR="00FA765C" w:rsidRPr="00691320">
        <w:rPr>
          <w:rFonts w:ascii="Times New Roman" w:eastAsia="Times New Roman" w:hAnsi="Times New Roman" w:cs="Times New Roman"/>
          <w:lang w:val="en-GB"/>
        </w:rPr>
        <w:t>(Meyer &amp; Wilson, 2009)</w:t>
      </w:r>
      <w:r w:rsidRPr="00691320">
        <w:rPr>
          <w:rFonts w:ascii="Times New Roman" w:eastAsia="Times New Roman" w:hAnsi="Times New Roman" w:cs="Times New Roman"/>
          <w:lang w:val="en-GB"/>
        </w:rPr>
        <w:fldChar w:fldCharType="end"/>
      </w:r>
      <w:r w:rsidRPr="00691320">
        <w:rPr>
          <w:rFonts w:ascii="Times New Roman" w:eastAsia="Times New Roman" w:hAnsi="Times New Roman" w:cs="Times New Roman"/>
          <w:lang w:val="en-GB"/>
        </w:rPr>
        <w:t xml:space="preserve">. Further, probability-based studies typically include relatively small numbers of sexual minorities in one country only, and thus would not have provided an adequate sample size across numerous countries with which to evaluate our research aims. </w:t>
      </w:r>
    </w:p>
    <w:p w14:paraId="2536F537" w14:textId="1D68179E" w:rsidR="00C156CB" w:rsidRDefault="0093332A" w:rsidP="00302BD4">
      <w:pPr>
        <w:pStyle w:val="Overskrift1"/>
        <w:rPr>
          <w:lang w:val="en-GB"/>
        </w:rPr>
      </w:pPr>
      <w:r w:rsidRPr="007F78BA">
        <w:rPr>
          <w:lang w:val="en-GB"/>
        </w:rPr>
        <w:t>Conclusion</w:t>
      </w:r>
    </w:p>
    <w:p w14:paraId="3CF920F3" w14:textId="617072DE" w:rsidR="00630939" w:rsidRPr="00630939" w:rsidRDefault="009A21EE" w:rsidP="00630939">
      <w:pPr>
        <w:spacing w:line="276" w:lineRule="auto"/>
        <w:ind w:firstLine="720"/>
        <w:jc w:val="both"/>
        <w:rPr>
          <w:rFonts w:ascii="Times New Roman" w:eastAsia="Times New Roman" w:hAnsi="Times New Roman" w:cs="Times New Roman"/>
          <w:lang w:val="en-GB"/>
        </w:rPr>
      </w:pPr>
      <w:r w:rsidRPr="009A21EE">
        <w:rPr>
          <w:rFonts w:ascii="Times New Roman" w:eastAsia="Times New Roman" w:hAnsi="Times New Roman" w:cs="Times New Roman"/>
          <w:lang w:val="en-GB"/>
        </w:rPr>
        <w:t xml:space="preserve">To our knowledge, this is the first study to </w:t>
      </w:r>
      <w:r>
        <w:rPr>
          <w:rFonts w:ascii="Times New Roman" w:eastAsia="Times New Roman" w:hAnsi="Times New Roman" w:cs="Times New Roman"/>
          <w:lang w:val="en-GB"/>
        </w:rPr>
        <w:t xml:space="preserve">examine </w:t>
      </w:r>
      <w:r w:rsidRPr="009A21EE">
        <w:rPr>
          <w:rFonts w:ascii="Times New Roman" w:eastAsia="Times New Roman" w:hAnsi="Times New Roman" w:cs="Times New Roman"/>
          <w:lang w:val="en-GB"/>
        </w:rPr>
        <w:t xml:space="preserve">the impact of internalized homonegativity on sexual risk behaviour of </w:t>
      </w:r>
      <w:r w:rsidR="008A7703">
        <w:rPr>
          <w:rFonts w:ascii="Times New Roman" w:eastAsia="Times New Roman" w:hAnsi="Times New Roman" w:cs="Times New Roman"/>
          <w:lang w:val="en-GB"/>
        </w:rPr>
        <w:t>MSM</w:t>
      </w:r>
      <w:r w:rsidRPr="009A21EE">
        <w:rPr>
          <w:rFonts w:ascii="Times New Roman" w:eastAsia="Times New Roman" w:hAnsi="Times New Roman" w:cs="Times New Roman"/>
          <w:lang w:val="en-GB"/>
        </w:rPr>
        <w:t xml:space="preserve"> in Turkey. Our SEM results suggest that IH is not directly implicated in the path to SRB. We also found that HIV/</w:t>
      </w:r>
      <w:proofErr w:type="spellStart"/>
      <w:r w:rsidRPr="009A21EE">
        <w:rPr>
          <w:rFonts w:ascii="Times New Roman" w:eastAsia="Times New Roman" w:hAnsi="Times New Roman" w:cs="Times New Roman"/>
          <w:lang w:val="en-GB"/>
        </w:rPr>
        <w:t>PrEP</w:t>
      </w:r>
      <w:proofErr w:type="spellEnd"/>
      <w:r w:rsidRPr="009A21EE">
        <w:rPr>
          <w:rFonts w:ascii="Times New Roman" w:eastAsia="Times New Roman" w:hAnsi="Times New Roman" w:cs="Times New Roman"/>
          <w:lang w:val="en-GB"/>
        </w:rPr>
        <w:t xml:space="preserve"> knowledge mediated the relationship between IH and SRB for MSM in Spain, but not MSM in Turkey. Future studies and HIV prevention programs should consider focusing on communicating what </w:t>
      </w:r>
      <w:proofErr w:type="gramStart"/>
      <w:r w:rsidRPr="009A21EE">
        <w:rPr>
          <w:rFonts w:ascii="Times New Roman" w:eastAsia="Times New Roman" w:hAnsi="Times New Roman" w:cs="Times New Roman"/>
          <w:lang w:val="en-GB"/>
        </w:rPr>
        <w:t>actually makes</w:t>
      </w:r>
      <w:proofErr w:type="gramEnd"/>
      <w:r w:rsidRPr="009A21EE">
        <w:rPr>
          <w:rFonts w:ascii="Times New Roman" w:eastAsia="Times New Roman" w:hAnsi="Times New Roman" w:cs="Times New Roman"/>
          <w:lang w:val="en-GB"/>
        </w:rPr>
        <w:t xml:space="preserve"> one less vulnerable to HIV, which is the knowledge that goes into the ability to negotiate safe sex, especially in the context of Turkey. Similarly, for MSM in Spain, Future prevention strategies should also target specific counselling for MSM with low IH and who are relatively knowledgeable about HIV risks and how </w:t>
      </w:r>
      <w:proofErr w:type="spellStart"/>
      <w:r w:rsidRPr="009A21EE">
        <w:rPr>
          <w:rFonts w:ascii="Times New Roman" w:eastAsia="Times New Roman" w:hAnsi="Times New Roman" w:cs="Times New Roman"/>
          <w:lang w:val="en-GB"/>
        </w:rPr>
        <w:t>PrEP</w:t>
      </w:r>
      <w:proofErr w:type="spellEnd"/>
      <w:r w:rsidRPr="009A21EE">
        <w:rPr>
          <w:rFonts w:ascii="Times New Roman" w:eastAsia="Times New Roman" w:hAnsi="Times New Roman" w:cs="Times New Roman"/>
          <w:lang w:val="en-GB"/>
        </w:rPr>
        <w:t xml:space="preserve"> works, </w:t>
      </w:r>
      <w:proofErr w:type="gramStart"/>
      <w:r w:rsidRPr="009A21EE">
        <w:rPr>
          <w:rFonts w:ascii="Times New Roman" w:eastAsia="Times New Roman" w:hAnsi="Times New Roman" w:cs="Times New Roman"/>
          <w:lang w:val="en-GB"/>
        </w:rPr>
        <w:t>in order to</w:t>
      </w:r>
      <w:proofErr w:type="gramEnd"/>
      <w:r w:rsidRPr="009A21EE">
        <w:rPr>
          <w:rFonts w:ascii="Times New Roman" w:eastAsia="Times New Roman" w:hAnsi="Times New Roman" w:cs="Times New Roman"/>
          <w:lang w:val="en-GB"/>
        </w:rPr>
        <w:t xml:space="preserve"> ensure that they are included within the prevention messages. Lastly, in both contexts, it is important that future interventions consider addressing substance use in general and sex under the influence of substances</w:t>
      </w:r>
      <w:r w:rsidR="00630939">
        <w:rPr>
          <w:rFonts w:ascii="Times New Roman" w:eastAsia="Times New Roman" w:hAnsi="Times New Roman" w:cs="Times New Roman"/>
          <w:lang w:val="en-GB"/>
        </w:rPr>
        <w:t xml:space="preserve">, for this population. </w:t>
      </w:r>
    </w:p>
    <w:p w14:paraId="75A31C53" w14:textId="61890D75" w:rsidR="00D37C73" w:rsidRDefault="00D37C73" w:rsidP="007A34C0">
      <w:pPr>
        <w:pStyle w:val="Overskrift1"/>
        <w:rPr>
          <w:lang w:val="en-GB"/>
        </w:rPr>
      </w:pPr>
      <w:r>
        <w:rPr>
          <w:lang w:val="en-GB"/>
        </w:rPr>
        <w:t>Acknowledgments</w:t>
      </w:r>
    </w:p>
    <w:p w14:paraId="465B95BE" w14:textId="5B054E28" w:rsidR="00D37C73" w:rsidRPr="00630939" w:rsidRDefault="00D37C73" w:rsidP="00630939">
      <w:pPr>
        <w:spacing w:line="276" w:lineRule="auto"/>
        <w:ind w:firstLine="720"/>
        <w:jc w:val="both"/>
        <w:rPr>
          <w:rFonts w:ascii="Times New Roman" w:eastAsia="Times New Roman" w:hAnsi="Times New Roman" w:cs="Times New Roman"/>
          <w:lang w:val="en-GB"/>
        </w:rPr>
      </w:pPr>
      <w:r w:rsidRPr="00691320">
        <w:rPr>
          <w:rFonts w:ascii="Times New Roman" w:eastAsia="Times New Roman" w:hAnsi="Times New Roman" w:cs="Times New Roman"/>
          <w:lang w:val="en-GB"/>
        </w:rPr>
        <w:t xml:space="preserve">EMIS-2017 was coordinated by Sigma Research at the London School of Hygiene and Tropical Medicine (LSHTM) in association with the Robert Koch Institute (RKI) in Berlin. EMIS core team @ Sigma Research (LSHTM): Dr Axel J. Schmidt, Dr Ford Hickson; David Reid, and Peter Weatherburn; in association with Dr Ulrich Marcus and Dr Susanne B. Schink @ RKI. We thank all participants and all our partners for being part of something huge. </w:t>
      </w:r>
      <w:proofErr w:type="gramStart"/>
      <w:r w:rsidRPr="00691320">
        <w:rPr>
          <w:rFonts w:ascii="Times New Roman" w:eastAsia="Times New Roman" w:hAnsi="Times New Roman" w:cs="Times New Roman"/>
          <w:lang w:val="en-GB"/>
        </w:rPr>
        <w:t>In particular, we</w:t>
      </w:r>
      <w:proofErr w:type="gramEnd"/>
      <w:r w:rsidRPr="00691320">
        <w:rPr>
          <w:rFonts w:ascii="Times New Roman" w:eastAsia="Times New Roman" w:hAnsi="Times New Roman" w:cs="Times New Roman"/>
          <w:lang w:val="en-GB"/>
        </w:rPr>
        <w:t xml:space="preserve"> would like to thank the following companies and organisations: </w:t>
      </w:r>
      <w:proofErr w:type="spellStart"/>
      <w:r w:rsidRPr="00691320">
        <w:rPr>
          <w:rFonts w:ascii="Times New Roman" w:eastAsia="Times New Roman" w:hAnsi="Times New Roman" w:cs="Times New Roman"/>
          <w:lang w:val="en-GB"/>
        </w:rPr>
        <w:t>PlanetRomeo</w:t>
      </w:r>
      <w:proofErr w:type="spellEnd"/>
      <w:r w:rsidRPr="00691320">
        <w:rPr>
          <w:rFonts w:ascii="Times New Roman" w:eastAsia="Times New Roman" w:hAnsi="Times New Roman" w:cs="Times New Roman"/>
          <w:lang w:val="en-GB"/>
        </w:rPr>
        <w:t xml:space="preserve">, Stop </w:t>
      </w:r>
      <w:proofErr w:type="spellStart"/>
      <w:r w:rsidRPr="00691320">
        <w:rPr>
          <w:rFonts w:ascii="Times New Roman" w:eastAsia="Times New Roman" w:hAnsi="Times New Roman" w:cs="Times New Roman"/>
          <w:lang w:val="en-GB"/>
        </w:rPr>
        <w:t>Sida</w:t>
      </w:r>
      <w:proofErr w:type="spellEnd"/>
      <w:r w:rsidRPr="00691320">
        <w:rPr>
          <w:rFonts w:ascii="Times New Roman" w:eastAsia="Times New Roman" w:hAnsi="Times New Roman" w:cs="Times New Roman"/>
          <w:lang w:val="en-GB"/>
        </w:rPr>
        <w:t xml:space="preserve"> (Spain) European AIDS Treatment Group (EATG), European Centre for Disease Prevention and Control (ECDC), European Monitoring Centre for Drugs &amp; Drug Addiction (EMCDDA), European Commission (DG </w:t>
      </w:r>
      <w:proofErr w:type="spellStart"/>
      <w:r w:rsidRPr="00691320">
        <w:rPr>
          <w:rFonts w:ascii="Times New Roman" w:eastAsia="Times New Roman" w:hAnsi="Times New Roman" w:cs="Times New Roman"/>
          <w:lang w:val="en-GB"/>
        </w:rPr>
        <w:t>SANTE</w:t>
      </w:r>
      <w:proofErr w:type="spellEnd"/>
      <w:r w:rsidRPr="00691320">
        <w:rPr>
          <w:rFonts w:ascii="Times New Roman" w:eastAsia="Times New Roman" w:hAnsi="Times New Roman" w:cs="Times New Roman"/>
          <w:lang w:val="en-GB"/>
        </w:rPr>
        <w:t xml:space="preserve">), and </w:t>
      </w:r>
      <w:proofErr w:type="spellStart"/>
      <w:r w:rsidRPr="00691320">
        <w:rPr>
          <w:rFonts w:ascii="Times New Roman" w:eastAsia="Times New Roman" w:hAnsi="Times New Roman" w:cs="Times New Roman"/>
          <w:lang w:val="en-GB"/>
        </w:rPr>
        <w:t>Pozitif</w:t>
      </w:r>
      <w:proofErr w:type="spellEnd"/>
      <w:r w:rsidRPr="00691320">
        <w:rPr>
          <w:rFonts w:ascii="Times New Roman" w:eastAsia="Times New Roman" w:hAnsi="Times New Roman" w:cs="Times New Roman"/>
          <w:lang w:val="en-GB"/>
        </w:rPr>
        <w:t xml:space="preserve"> </w:t>
      </w:r>
      <w:proofErr w:type="spellStart"/>
      <w:r w:rsidRPr="00691320">
        <w:rPr>
          <w:rFonts w:ascii="Times New Roman" w:eastAsia="Times New Roman" w:hAnsi="Times New Roman" w:cs="Times New Roman"/>
          <w:lang w:val="en-GB"/>
        </w:rPr>
        <w:t>Yaşam</w:t>
      </w:r>
      <w:proofErr w:type="spellEnd"/>
      <w:r w:rsidRPr="00691320">
        <w:rPr>
          <w:rFonts w:ascii="Times New Roman" w:eastAsia="Times New Roman" w:hAnsi="Times New Roman" w:cs="Times New Roman"/>
          <w:lang w:val="en-GB"/>
        </w:rPr>
        <w:t xml:space="preserve"> </w:t>
      </w:r>
      <w:proofErr w:type="spellStart"/>
      <w:r w:rsidRPr="00691320">
        <w:rPr>
          <w:rFonts w:ascii="Times New Roman" w:eastAsia="Times New Roman" w:hAnsi="Times New Roman" w:cs="Times New Roman"/>
          <w:lang w:val="en-GB"/>
        </w:rPr>
        <w:t>Derneği</w:t>
      </w:r>
      <w:proofErr w:type="spellEnd"/>
      <w:r w:rsidRPr="00691320">
        <w:rPr>
          <w:rFonts w:ascii="Times New Roman" w:eastAsia="Times New Roman" w:hAnsi="Times New Roman" w:cs="Times New Roman"/>
          <w:lang w:val="en-GB"/>
        </w:rPr>
        <w:t xml:space="preserve"> (İzmir, Turkey).  </w:t>
      </w:r>
    </w:p>
    <w:p w14:paraId="31C14E1F" w14:textId="5FDEC404" w:rsidR="00E34075" w:rsidRPr="007F78BA" w:rsidRDefault="00E34075" w:rsidP="00E34075">
      <w:pPr>
        <w:pStyle w:val="Overskrift1"/>
        <w:rPr>
          <w:lang w:val="en-GB"/>
        </w:rPr>
      </w:pPr>
      <w:r w:rsidRPr="007F78BA">
        <w:rPr>
          <w:lang w:val="en-GB"/>
        </w:rPr>
        <w:lastRenderedPageBreak/>
        <w:t>Appendix</w:t>
      </w:r>
    </w:p>
    <w:p w14:paraId="0CE94AC1" w14:textId="77777777" w:rsidR="00E34075" w:rsidRPr="007F78BA" w:rsidRDefault="00E34075" w:rsidP="00E34075">
      <w:pPr>
        <w:pStyle w:val="Overskrift2"/>
        <w:rPr>
          <w:rFonts w:eastAsia="Times New Roman"/>
          <w:lang w:val="en-GB"/>
        </w:rPr>
      </w:pPr>
      <w:r w:rsidRPr="007F78BA">
        <w:rPr>
          <w:rFonts w:eastAsia="Times New Roman"/>
          <w:lang w:val="en-GB"/>
        </w:rPr>
        <w:t xml:space="preserve">Measurement Invariance and Multi-group Confirmatory Factor Analysis </w:t>
      </w:r>
    </w:p>
    <w:p w14:paraId="398759FA" w14:textId="77777777" w:rsidR="00E34075" w:rsidRPr="007F78BA" w:rsidRDefault="00E34075" w:rsidP="00E34075">
      <w:pPr>
        <w:spacing w:line="276" w:lineRule="auto"/>
        <w:ind w:firstLine="720"/>
        <w:jc w:val="both"/>
        <w:rPr>
          <w:rFonts w:ascii="Times New Roman" w:eastAsia="Times New Roman" w:hAnsi="Times New Roman" w:cs="Times New Roman"/>
          <w:lang w:val="en-GB"/>
        </w:rPr>
      </w:pPr>
      <w:r w:rsidRPr="007F78BA">
        <w:rPr>
          <w:rFonts w:ascii="Times New Roman" w:eastAsia="Times New Roman" w:hAnsi="Times New Roman" w:cs="Times New Roman"/>
          <w:lang w:val="en-GB"/>
        </w:rPr>
        <w:t xml:space="preserve">Following </w:t>
      </w:r>
      <w:r w:rsidRPr="007F78BA">
        <w:rPr>
          <w:rFonts w:ascii="Times New Roman" w:eastAsia="Times New Roman" w:hAnsi="Times New Roman" w:cs="Times New Roman"/>
          <w:lang w:val="en-GB"/>
        </w:rPr>
        <w:fldChar w:fldCharType="begin"/>
      </w:r>
      <w:r w:rsidRPr="007F78BA">
        <w:rPr>
          <w:rFonts w:ascii="Times New Roman" w:eastAsia="Times New Roman" w:hAnsi="Times New Roman" w:cs="Times New Roman"/>
          <w:lang w:val="en-GB"/>
        </w:rPr>
        <w:instrText xml:space="preserve"> ADDIN ZOTERO_ITEM CSL_CITATION {"citationID":"gZxisvGL","properties":{"formattedCitation":"(Hirschfeld &amp; von Brachel, 2014)","plainCitation":"(Hirschfeld &amp; von Brachel, 2014)","dontUpdate":true,"noteIndex":0},"citationItems":[{"id":626,"uris":["http://zotero.org/users/5061103/items/8LNT5A92"],"uri":["http://zotero.org/users/5061103/items/8LNT5A92"],"itemData":{"id":626,"type":"article-journal","container-title":"Practical Assessment, Research &amp; Evaluation","issue":"7","language":"en","page":"1-13","source":"Zotero","title":"Multiple-Group confirmatory factor analysis in R – A tutorial in measurement invariance with continuous and ordinal indicators","volume":"19","author":[{"family":"Hirschfeld","given":"Gerrit"},{"family":"Brachel","given":"Ruth","non-dropping-particle":"von"}],"issued":{"date-parts":[["2014"]]}}}],"schema":"https://github.com/citation-style-language/schema/raw/master/csl-citation.json"} </w:instrText>
      </w:r>
      <w:r w:rsidRPr="007F78BA">
        <w:rPr>
          <w:rFonts w:ascii="Times New Roman" w:eastAsia="Times New Roman" w:hAnsi="Times New Roman" w:cs="Times New Roman"/>
          <w:lang w:val="en-GB"/>
        </w:rPr>
        <w:fldChar w:fldCharType="separate"/>
      </w:r>
      <w:r w:rsidRPr="007F78BA">
        <w:rPr>
          <w:rFonts w:ascii="Times New Roman" w:eastAsia="Times New Roman" w:hAnsi="Times New Roman" w:cs="Times New Roman"/>
          <w:lang w:val="en-GB"/>
        </w:rPr>
        <w:t>Hirschfeld &amp; von Brachel (2014)</w:t>
      </w:r>
      <w:r w:rsidRPr="007F78BA">
        <w:rPr>
          <w:rFonts w:ascii="Times New Roman" w:eastAsia="Times New Roman" w:hAnsi="Times New Roman" w:cs="Times New Roman"/>
          <w:lang w:val="en-GB"/>
        </w:rPr>
        <w:fldChar w:fldCharType="end"/>
      </w:r>
      <w:r w:rsidRPr="007F78BA">
        <w:rPr>
          <w:rFonts w:ascii="Times New Roman" w:eastAsia="Times New Roman" w:hAnsi="Times New Roman" w:cs="Times New Roman"/>
          <w:lang w:val="en-GB"/>
        </w:rPr>
        <w:t xml:space="preserve"> to test measurement invariance of a MG-CFA, the first step was to run a confirmatory factor analysis (CFA) for each group separately and the validity of CFA for each group is established (Spain: CFI = .97; TLI. = .96; RMSEA = 0.03, Turkey: CFI = .95; TLI = .94; RMSEA = 0.04). Then, we ran a multigroup CFA with no equality constraints, in other words Configural invariance, (Table 1, Model 1 (M1)) and this model also had a good fit (CFI = .97; TLI. = .96; RMSEA = 0.03). </w:t>
      </w:r>
    </w:p>
    <w:p w14:paraId="18939999" w14:textId="77777777" w:rsidR="00E34075" w:rsidRPr="007F78BA" w:rsidRDefault="00E34075" w:rsidP="00E34075">
      <w:pPr>
        <w:spacing w:line="276" w:lineRule="auto"/>
        <w:ind w:firstLine="720"/>
        <w:jc w:val="both"/>
        <w:rPr>
          <w:rFonts w:ascii="Times New Roman" w:eastAsia="Times New Roman" w:hAnsi="Times New Roman" w:cs="Times New Roman"/>
          <w:lang w:val="en-GB"/>
        </w:rPr>
      </w:pPr>
      <w:r w:rsidRPr="007F78BA">
        <w:rPr>
          <w:rFonts w:ascii="Times New Roman" w:eastAsia="Times New Roman" w:hAnsi="Times New Roman" w:cs="Times New Roman"/>
          <w:lang w:val="en-GB"/>
        </w:rPr>
        <w:t xml:space="preserve">Then, we ran a model where we only constrained the factor loadings to be equal across groups (Table 1, Model 2 (M2)). This is called metric invariance test and it determines whether the respondents of different groups attribute the same meaning to the latent constructs </w:t>
      </w:r>
      <w:r w:rsidRPr="007F78BA">
        <w:rPr>
          <w:rFonts w:ascii="Times New Roman" w:eastAsia="Times New Roman" w:hAnsi="Times New Roman" w:cs="Times New Roman"/>
          <w:lang w:val="en-GB"/>
        </w:rPr>
        <w:fldChar w:fldCharType="begin"/>
      </w:r>
      <w:r w:rsidRPr="007F78BA">
        <w:rPr>
          <w:rFonts w:ascii="Times New Roman" w:eastAsia="Times New Roman" w:hAnsi="Times New Roman" w:cs="Times New Roman"/>
          <w:lang w:val="en-GB"/>
        </w:rPr>
        <w:instrText xml:space="preserve"> ADDIN ZOTERO_ITEM CSL_CITATION {"citationID":"ynxvCNJO","properties":{"formattedCitation":"(van de Schoot et al., 2012)","plainCitation":"(van de Schoot et al., 2012)","noteIndex":0},"citationItems":[{"id":634,"uris":["http://zotero.org/users/5061103/items/V9PTEHUR"],"uri":["http://zotero.org/users/5061103/items/V9PTEHUR"],"itemData":{"id":634,"type":"article-journal","abstract":"The analysis of measurement invariance of latent constructs is important in research across groups, or across time. By establishing whether factor loadings, intercepts and residual variances are equivalent in a factor model that measures a latent concept, we can assure that comparisons that are made on the latent variable are valid across groups or time. Establishing measurement invariance involves running a set of increasingly constrained Structural Equation Models, and testing whether differences between these models are significant. This paper provides a step-by-step guide in analyzing Measurement Invariance.","container-title":"European Journal of Developmental Psychology","DOI":"10.1080/17405629.2012.686740","ISSN":"1740-5629, 1740-5610","issue":"4","journalAbbreviation":"European Journal of Developmental Psychology","language":"en","page":"486-492","source":"DOI.org (Crossref)","title":"A checklist for testing measurement invariance","volume":"9","author":[{"family":"Schoot","given":"Rens","non-dropping-particle":"van de"},{"family":"Lugtig","given":"Peter"},{"family":"Hox","given":"Joop"}],"issued":{"date-parts":[["2012",7]]}}}],"schema":"https://github.com/citation-style-language/schema/raw/master/csl-citation.json"} </w:instrText>
      </w:r>
      <w:r w:rsidRPr="007F78BA">
        <w:rPr>
          <w:rFonts w:ascii="Times New Roman" w:eastAsia="Times New Roman" w:hAnsi="Times New Roman" w:cs="Times New Roman"/>
          <w:lang w:val="en-GB"/>
        </w:rPr>
        <w:fldChar w:fldCharType="separate"/>
      </w:r>
      <w:r w:rsidRPr="007F78BA">
        <w:rPr>
          <w:rFonts w:ascii="Times New Roman" w:eastAsia="Times New Roman" w:hAnsi="Times New Roman" w:cs="Times New Roman"/>
          <w:lang w:val="en-GB"/>
        </w:rPr>
        <w:t>(van de Schoot et al., 2012)</w:t>
      </w:r>
      <w:r w:rsidRPr="007F78BA">
        <w:rPr>
          <w:rFonts w:ascii="Times New Roman" w:eastAsia="Times New Roman" w:hAnsi="Times New Roman" w:cs="Times New Roman"/>
          <w:lang w:val="en-GB"/>
        </w:rPr>
        <w:fldChar w:fldCharType="end"/>
      </w:r>
      <w:r w:rsidRPr="007F78BA">
        <w:rPr>
          <w:rFonts w:ascii="Times New Roman" w:eastAsia="Times New Roman" w:hAnsi="Times New Roman" w:cs="Times New Roman"/>
          <w:lang w:val="en-GB"/>
        </w:rPr>
        <w:t xml:space="preserve">. When compared to M1, M2 had lower CFI and RMSEA (ΔCFI = 0.004, ΔRMSEA = 0.002), but M2 still had a good fit (CFI = 0.96, RMSEA=0.04). Our CFA model showed metric invariance across groups. </w:t>
      </w:r>
    </w:p>
    <w:p w14:paraId="71784AE3" w14:textId="77777777" w:rsidR="00E34075" w:rsidRPr="007F78BA" w:rsidRDefault="00E34075" w:rsidP="00E34075">
      <w:pPr>
        <w:spacing w:line="276" w:lineRule="auto"/>
        <w:ind w:firstLine="720"/>
        <w:jc w:val="both"/>
        <w:rPr>
          <w:rFonts w:ascii="Times New Roman" w:eastAsia="Times New Roman" w:hAnsi="Times New Roman" w:cs="Times New Roman"/>
          <w:lang w:val="en-GB"/>
        </w:rPr>
      </w:pPr>
      <w:r w:rsidRPr="007F78BA">
        <w:rPr>
          <w:rFonts w:ascii="Times New Roman" w:eastAsia="Times New Roman" w:hAnsi="Times New Roman" w:cs="Times New Roman"/>
          <w:lang w:val="en-GB"/>
        </w:rPr>
        <w:t xml:space="preserve">Next, we ran a model where both the factor loadings and intercepts were constrained to be equal across groups (Table 1, Model 3 (M3)). In addition to the meaning of latent constructs, the levels of the underlying manifest variables (intercepts) were held equal in both groups, allowing us to measure scale invariance. When compared to M2, M3 had a lower CFI and RMSEA (ΔCFI = 0.009, ΔRMSEA = 0.004), but M3 still had a good fit (CFI = 0.90, RMSEA=0.04), which gave evidence for our model’s scalar invariance. </w:t>
      </w:r>
    </w:p>
    <w:p w14:paraId="2EDDCB2B" w14:textId="77777777" w:rsidR="00E34075" w:rsidRPr="007F78BA" w:rsidRDefault="00E34075" w:rsidP="00E34075">
      <w:pPr>
        <w:spacing w:line="276" w:lineRule="auto"/>
        <w:ind w:firstLine="720"/>
        <w:jc w:val="both"/>
        <w:rPr>
          <w:rFonts w:ascii="Times New Roman" w:eastAsia="Times New Roman" w:hAnsi="Times New Roman" w:cs="Times New Roman"/>
          <w:lang w:val="en-GB"/>
        </w:rPr>
      </w:pPr>
      <w:r w:rsidRPr="007F78BA">
        <w:rPr>
          <w:rFonts w:ascii="Times New Roman" w:eastAsia="Times New Roman" w:hAnsi="Times New Roman" w:cs="Times New Roman"/>
          <w:lang w:val="en-GB"/>
        </w:rPr>
        <w:t xml:space="preserve">Finally, we tested the residual invariance of our model, by adding the additional constraint of equal residual variances for the observed variables across the groups (Table 1, Model 4 (M4)). In other words, this final step determines whether the latent construct is measured </w:t>
      </w:r>
      <w:r w:rsidRPr="007F78BA">
        <w:rPr>
          <w:rFonts w:ascii="Times New Roman" w:eastAsia="Times New Roman" w:hAnsi="Times New Roman" w:cs="Times New Roman"/>
          <w:i/>
          <w:lang w:val="en-GB"/>
        </w:rPr>
        <w:t xml:space="preserve">identically </w:t>
      </w:r>
      <w:r w:rsidRPr="007F78BA">
        <w:rPr>
          <w:rFonts w:ascii="Times New Roman" w:eastAsia="Times New Roman" w:hAnsi="Times New Roman" w:cs="Times New Roman"/>
          <w:lang w:val="en-GB"/>
        </w:rPr>
        <w:t xml:space="preserve">across groups </w:t>
      </w:r>
      <w:r w:rsidRPr="007F78BA">
        <w:rPr>
          <w:rFonts w:ascii="Times New Roman" w:eastAsia="Times New Roman" w:hAnsi="Times New Roman" w:cs="Times New Roman"/>
          <w:lang w:val="en-GB"/>
        </w:rPr>
        <w:fldChar w:fldCharType="begin"/>
      </w:r>
      <w:r w:rsidRPr="007F78BA">
        <w:rPr>
          <w:rFonts w:ascii="Times New Roman" w:eastAsia="Times New Roman" w:hAnsi="Times New Roman" w:cs="Times New Roman"/>
          <w:lang w:val="en-GB"/>
        </w:rPr>
        <w:instrText xml:space="preserve"> ADDIN ZOTERO_ITEM CSL_CITATION {"citationID":"rjiProUO","properties":{"formattedCitation":"(van de Schoot et al., 2012)","plainCitation":"(van de Schoot et al., 2012)","noteIndex":0},"citationItems":[{"id":634,"uris":["http://zotero.org/users/5061103/items/V9PTEHUR"],"uri":["http://zotero.org/users/5061103/items/V9PTEHUR"],"itemData":{"id":634,"type":"article-journal","abstract":"The analysis of measurement invariance of latent constructs is important in research across groups, or across time. By establishing whether factor loadings, intercepts and residual variances are equivalent in a factor model that measures a latent concept, we can assure that comparisons that are made on the latent variable are valid across groups or time. Establishing measurement invariance involves running a set of increasingly constrained Structural Equation Models, and testing whether differences between these models are significant. This paper provides a step-by-step guide in analyzing Measurement Invariance.","container-title":"European Journal of Developmental Psychology","DOI":"10.1080/17405629.2012.686740","ISSN":"1740-5629, 1740-5610","issue":"4","journalAbbreviation":"European Journal of Developmental Psychology","language":"en","page":"486-492","source":"DOI.org (Crossref)","title":"A checklist for testing measurement invariance","volume":"9","author":[{"family":"Schoot","given":"Rens","non-dropping-particle":"van de"},{"family":"Lugtig","given":"Peter"},{"family":"Hox","given":"Joop"}],"issued":{"date-parts":[["2012",7]]}}}],"schema":"https://github.com/citation-style-language/schema/raw/master/csl-citation.json"} </w:instrText>
      </w:r>
      <w:r w:rsidRPr="007F78BA">
        <w:rPr>
          <w:rFonts w:ascii="Times New Roman" w:eastAsia="Times New Roman" w:hAnsi="Times New Roman" w:cs="Times New Roman"/>
          <w:lang w:val="en-GB"/>
        </w:rPr>
        <w:fldChar w:fldCharType="separate"/>
      </w:r>
      <w:r w:rsidRPr="007F78BA">
        <w:rPr>
          <w:rFonts w:ascii="Times New Roman" w:eastAsia="Times New Roman" w:hAnsi="Times New Roman" w:cs="Times New Roman"/>
          <w:lang w:val="en-GB"/>
        </w:rPr>
        <w:t>(van de Schoot et al., 2012)</w:t>
      </w:r>
      <w:r w:rsidRPr="007F78BA">
        <w:rPr>
          <w:rFonts w:ascii="Times New Roman" w:eastAsia="Times New Roman" w:hAnsi="Times New Roman" w:cs="Times New Roman"/>
          <w:lang w:val="en-GB"/>
        </w:rPr>
        <w:fldChar w:fldCharType="end"/>
      </w:r>
      <w:r w:rsidRPr="007F78BA">
        <w:rPr>
          <w:rFonts w:ascii="Times New Roman" w:eastAsia="Times New Roman" w:hAnsi="Times New Roman" w:cs="Times New Roman"/>
          <w:lang w:val="en-GB"/>
        </w:rPr>
        <w:t xml:space="preserve">. When compared to M3, M4 had lower CFI and RMSEA, which suggested a poor fit to data. Thus, we rejected M4, as M3 comparatively showed a better fit and residual invariance could not be established. </w:t>
      </w:r>
    </w:p>
    <w:p w14:paraId="0DC80F42" w14:textId="2F9738B1" w:rsidR="00E34075" w:rsidRPr="007F78BA" w:rsidRDefault="00E34075" w:rsidP="00F960A2">
      <w:pPr>
        <w:spacing w:line="276" w:lineRule="auto"/>
        <w:ind w:firstLine="720"/>
        <w:jc w:val="both"/>
        <w:rPr>
          <w:rFonts w:ascii="Times New Roman" w:eastAsia="Times New Roman" w:hAnsi="Times New Roman" w:cs="Times New Roman"/>
          <w:lang w:val="en-GB"/>
        </w:rPr>
      </w:pPr>
      <w:r w:rsidRPr="007F78BA">
        <w:rPr>
          <w:rFonts w:ascii="Times New Roman" w:eastAsia="Times New Roman" w:hAnsi="Times New Roman" w:cs="Times New Roman"/>
          <w:lang w:val="en-GB"/>
        </w:rPr>
        <w:t xml:space="preserve">In the given situation, the next step was to determine partial residual invariance </w:t>
      </w:r>
      <w:r w:rsidRPr="007F78BA">
        <w:rPr>
          <w:rFonts w:ascii="Times New Roman" w:eastAsia="Times New Roman" w:hAnsi="Times New Roman" w:cs="Times New Roman"/>
          <w:lang w:val="en-GB"/>
        </w:rPr>
        <w:fldChar w:fldCharType="begin"/>
      </w:r>
      <w:r w:rsidRPr="007F78BA">
        <w:rPr>
          <w:rFonts w:ascii="Times New Roman" w:eastAsia="Times New Roman" w:hAnsi="Times New Roman" w:cs="Times New Roman"/>
          <w:lang w:val="en-GB"/>
        </w:rPr>
        <w:instrText xml:space="preserve"> ADDIN ZOTERO_ITEM CSL_CITATION {"citationID":"IfeIB2rF","properties":{"formattedCitation":"(Hirschfeld &amp; von Brachel, 2014)","plainCitation":"(Hirschfeld &amp; von Brachel, 2014)","noteIndex":0},"citationItems":[{"id":626,"uris":["http://zotero.org/users/5061103/items/8LNT5A92"],"uri":["http://zotero.org/users/5061103/items/8LNT5A92"],"itemData":{"id":626,"type":"article-journal","container-title":"Practical Assessment, Research &amp; Evaluation","issue":"7","language":"en","page":"1-13","source":"Zotero","title":"Multiple-Group confirmatory factor analysis in R – A tutorial in measurement invariance with continuous and ordinal indicators","volume":"19","author":[{"family":"Hirschfeld","given":"Gerrit"},{"family":"Brachel","given":"Ruth","non-dropping-particle":"von"}],"issued":{"date-parts":[["2014"]]}}}],"schema":"https://github.com/citation-style-language/schema/raw/master/csl-citation.json"} </w:instrText>
      </w:r>
      <w:r w:rsidRPr="007F78BA">
        <w:rPr>
          <w:rFonts w:ascii="Times New Roman" w:eastAsia="Times New Roman" w:hAnsi="Times New Roman" w:cs="Times New Roman"/>
          <w:lang w:val="en-GB"/>
        </w:rPr>
        <w:fldChar w:fldCharType="separate"/>
      </w:r>
      <w:r w:rsidRPr="007F78BA">
        <w:rPr>
          <w:rFonts w:ascii="Times New Roman" w:eastAsia="Times New Roman" w:hAnsi="Times New Roman" w:cs="Times New Roman"/>
          <w:lang w:val="en-GB"/>
        </w:rPr>
        <w:t>(Hirschfeld &amp; von Brachel, 2014)</w:t>
      </w:r>
      <w:r w:rsidRPr="007F78BA">
        <w:rPr>
          <w:rFonts w:ascii="Times New Roman" w:eastAsia="Times New Roman" w:hAnsi="Times New Roman" w:cs="Times New Roman"/>
          <w:lang w:val="en-GB"/>
        </w:rPr>
        <w:fldChar w:fldCharType="end"/>
      </w:r>
      <w:r w:rsidRPr="007F78BA">
        <w:rPr>
          <w:rFonts w:ascii="Times New Roman" w:eastAsia="Times New Roman" w:hAnsi="Times New Roman" w:cs="Times New Roman"/>
          <w:lang w:val="en-GB"/>
        </w:rPr>
        <w:t xml:space="preserve"> and identify which individual parameters should be set free so that residual invariance could be established. We step-by-step freed and constrained several individual parameters of M4 based on the modification indices. The results showed that </w:t>
      </w:r>
      <w:proofErr w:type="gramStart"/>
      <w:r w:rsidRPr="007F78BA">
        <w:rPr>
          <w:rFonts w:ascii="Times New Roman" w:eastAsia="Times New Roman" w:hAnsi="Times New Roman" w:cs="Times New Roman"/>
          <w:lang w:val="en-GB"/>
        </w:rPr>
        <w:t>particular observed</w:t>
      </w:r>
      <w:proofErr w:type="gramEnd"/>
      <w:r w:rsidRPr="007F78BA">
        <w:rPr>
          <w:rFonts w:ascii="Times New Roman" w:eastAsia="Times New Roman" w:hAnsi="Times New Roman" w:cs="Times New Roman"/>
          <w:lang w:val="en-GB"/>
        </w:rPr>
        <w:t xml:space="preserve"> variables’ parameters should be set free in our model. These were: IH5 “</w:t>
      </w:r>
      <w:r w:rsidRPr="007F78BA">
        <w:rPr>
          <w:rFonts w:ascii="Times New Roman" w:eastAsia="Times New Roman" w:hAnsi="Times New Roman" w:cs="Times New Roman"/>
          <w:i/>
          <w:lang w:val="en-GB"/>
        </w:rPr>
        <w:t xml:space="preserve">I feel comfortable being a homosexual man;” </w:t>
      </w:r>
      <w:r w:rsidRPr="007F78BA">
        <w:rPr>
          <w:rFonts w:ascii="Times New Roman" w:eastAsia="Times New Roman" w:hAnsi="Times New Roman" w:cs="Times New Roman"/>
          <w:lang w:val="en-GB"/>
        </w:rPr>
        <w:t>IH6 “</w:t>
      </w:r>
      <w:r w:rsidRPr="007F78BA">
        <w:rPr>
          <w:rFonts w:ascii="Times New Roman" w:eastAsia="Times New Roman" w:hAnsi="Times New Roman" w:cs="Times New Roman"/>
          <w:i/>
          <w:lang w:val="en-GB"/>
        </w:rPr>
        <w:t>Homosexuality is morally acceptable to me;”</w:t>
      </w:r>
      <w:r w:rsidRPr="007F78BA">
        <w:rPr>
          <w:rFonts w:ascii="Times New Roman" w:eastAsia="Times New Roman" w:hAnsi="Times New Roman" w:cs="Times New Roman"/>
          <w:lang w:val="en-GB"/>
        </w:rPr>
        <w:t xml:space="preserve"> IH7 “</w:t>
      </w:r>
      <w:r w:rsidRPr="007F78BA">
        <w:rPr>
          <w:rFonts w:ascii="Times New Roman" w:eastAsia="Times New Roman" w:hAnsi="Times New Roman" w:cs="Times New Roman"/>
          <w:i/>
          <w:lang w:val="en-GB"/>
        </w:rPr>
        <w:t>Even if I could change my sexual orientation, I wouldn't</w:t>
      </w:r>
      <w:r w:rsidR="00C5118C">
        <w:rPr>
          <w:rFonts w:ascii="Times New Roman" w:eastAsia="Times New Roman" w:hAnsi="Times New Roman" w:cs="Times New Roman"/>
          <w:i/>
          <w:lang w:val="en-GB"/>
        </w:rPr>
        <w:t xml:space="preserve">” </w:t>
      </w:r>
      <w:r w:rsidRPr="007F78BA">
        <w:rPr>
          <w:rFonts w:ascii="Times New Roman" w:eastAsia="Times New Roman" w:hAnsi="Times New Roman" w:cs="Times New Roman"/>
          <w:lang w:val="en-GB"/>
        </w:rPr>
        <w:t>as shown in Table 1, Model 4a (M4a). In other words, we needed to set these observed variables to be estimated differently across the two samples, so that we could establish residual invariance across groups and therefore, attribute the CFA model’s results to the differences across groups. M4a showed good fit on its own (CFI = 0.9</w:t>
      </w:r>
      <w:r w:rsidR="00EF2B47">
        <w:rPr>
          <w:rFonts w:ascii="Times New Roman" w:eastAsia="Times New Roman" w:hAnsi="Times New Roman" w:cs="Times New Roman"/>
          <w:lang w:val="en-GB"/>
        </w:rPr>
        <w:t>4</w:t>
      </w:r>
      <w:r w:rsidRPr="007F78BA">
        <w:rPr>
          <w:rFonts w:ascii="Times New Roman" w:eastAsia="Times New Roman" w:hAnsi="Times New Roman" w:cs="Times New Roman"/>
          <w:lang w:val="en-GB"/>
        </w:rPr>
        <w:t>, RMSEA=0.0</w:t>
      </w:r>
      <w:r w:rsidR="00EF2B47">
        <w:rPr>
          <w:rFonts w:ascii="Times New Roman" w:eastAsia="Times New Roman" w:hAnsi="Times New Roman" w:cs="Times New Roman"/>
          <w:lang w:val="en-GB"/>
        </w:rPr>
        <w:t>5</w:t>
      </w:r>
      <w:r w:rsidRPr="007F78BA">
        <w:rPr>
          <w:rFonts w:ascii="Times New Roman" w:eastAsia="Times New Roman" w:hAnsi="Times New Roman" w:cs="Times New Roman"/>
          <w:lang w:val="en-GB"/>
        </w:rPr>
        <w:t>) and when compared to the M3 (ΔCFI = 0.0</w:t>
      </w:r>
      <w:r w:rsidR="00EF2B47">
        <w:rPr>
          <w:rFonts w:ascii="Times New Roman" w:eastAsia="Times New Roman" w:hAnsi="Times New Roman" w:cs="Times New Roman"/>
          <w:lang w:val="en-GB"/>
        </w:rPr>
        <w:t>17</w:t>
      </w:r>
      <w:r w:rsidRPr="007F78BA">
        <w:rPr>
          <w:rFonts w:ascii="Times New Roman" w:eastAsia="Times New Roman" w:hAnsi="Times New Roman" w:cs="Times New Roman"/>
          <w:lang w:val="en-GB"/>
        </w:rPr>
        <w:t>, ΔRMSEA = 0.0</w:t>
      </w:r>
      <w:r w:rsidR="00EF2B47">
        <w:rPr>
          <w:rFonts w:ascii="Times New Roman" w:eastAsia="Times New Roman" w:hAnsi="Times New Roman" w:cs="Times New Roman"/>
          <w:lang w:val="en-GB"/>
        </w:rPr>
        <w:t>07</w:t>
      </w:r>
      <w:r w:rsidRPr="007F78BA">
        <w:rPr>
          <w:rFonts w:ascii="Times New Roman" w:eastAsia="Times New Roman" w:hAnsi="Times New Roman" w:cs="Times New Roman"/>
          <w:lang w:val="en-GB"/>
        </w:rPr>
        <w:t xml:space="preserve">). In conclusion, measurement invariance of our MG-CFA is established. </w:t>
      </w:r>
    </w:p>
    <w:p w14:paraId="4EFE1A43" w14:textId="77777777" w:rsidR="00E34075" w:rsidRPr="007F78BA" w:rsidRDefault="00E34075" w:rsidP="00E34075">
      <w:pPr>
        <w:spacing w:line="276" w:lineRule="auto"/>
        <w:ind w:firstLine="720"/>
        <w:jc w:val="both"/>
        <w:rPr>
          <w:rFonts w:ascii="Times New Roman" w:eastAsia="Times New Roman" w:hAnsi="Times New Roman" w:cs="Times New Roman"/>
          <w:lang w:val="en-GB"/>
        </w:rPr>
      </w:pPr>
    </w:p>
    <w:p w14:paraId="05425A87" w14:textId="77777777" w:rsidR="00E34075" w:rsidRPr="007F78BA" w:rsidRDefault="00E34075" w:rsidP="00E34075">
      <w:pPr>
        <w:spacing w:line="276" w:lineRule="auto"/>
        <w:jc w:val="both"/>
        <w:rPr>
          <w:rFonts w:ascii="Times New Roman" w:eastAsia="Times New Roman" w:hAnsi="Times New Roman" w:cs="Times New Roman"/>
          <w:lang w:val="en-GB"/>
        </w:rPr>
      </w:pPr>
      <w:r w:rsidRPr="007F78BA">
        <w:rPr>
          <w:rFonts w:ascii="Times New Roman" w:hAnsi="Times New Roman" w:cs="Times New Roman"/>
          <w:b/>
          <w:lang w:val="en-GB"/>
        </w:rPr>
        <w:t>Table 1.</w:t>
      </w:r>
      <w:r w:rsidRPr="007F78BA">
        <w:rPr>
          <w:rFonts w:ascii="Times New Roman" w:hAnsi="Times New Roman" w:cs="Times New Roman"/>
          <w:lang w:val="en-GB"/>
        </w:rPr>
        <w:t xml:space="preserve"> Measurement Invariance of Multigroup Confirmatory Factor Analysis</w:t>
      </w:r>
    </w:p>
    <w:tbl>
      <w:tblPr>
        <w:tblStyle w:val="Tabellrutenett"/>
        <w:tblpPr w:leftFromText="180" w:rightFromText="180" w:vertAnchor="text" w:horzAnchor="margin" w:tblpY="-9"/>
        <w:tblW w:w="8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903"/>
        <w:gridCol w:w="659"/>
        <w:gridCol w:w="891"/>
        <w:gridCol w:w="1218"/>
        <w:gridCol w:w="874"/>
        <w:gridCol w:w="689"/>
        <w:gridCol w:w="1043"/>
        <w:gridCol w:w="936"/>
      </w:tblGrid>
      <w:tr w:rsidR="00E34075" w:rsidRPr="007F78BA" w14:paraId="6B98780F" w14:textId="77777777" w:rsidTr="002A5CF5">
        <w:trPr>
          <w:trHeight w:val="379"/>
        </w:trPr>
        <w:tc>
          <w:tcPr>
            <w:tcW w:w="1562" w:type="dxa"/>
            <w:tcBorders>
              <w:top w:val="single" w:sz="4" w:space="0" w:color="auto"/>
              <w:bottom w:val="single" w:sz="4" w:space="0" w:color="auto"/>
            </w:tcBorders>
          </w:tcPr>
          <w:p w14:paraId="5D97ACE1" w14:textId="77777777" w:rsidR="00E34075" w:rsidRPr="007F78BA" w:rsidRDefault="00E34075" w:rsidP="002A5CF5">
            <w:pPr>
              <w:rPr>
                <w:rFonts w:ascii="Baskerville Old Face" w:hAnsi="Baskerville Old Face" w:cs="Times New Roman"/>
                <w:b/>
                <w:sz w:val="20"/>
                <w:szCs w:val="20"/>
                <w:lang w:val="en-GB"/>
              </w:rPr>
            </w:pPr>
            <w:r w:rsidRPr="007F78BA">
              <w:rPr>
                <w:rFonts w:ascii="Baskerville Old Face" w:hAnsi="Baskerville Old Face" w:cs="Times New Roman"/>
                <w:b/>
                <w:sz w:val="20"/>
                <w:szCs w:val="20"/>
                <w:lang w:val="en-GB"/>
              </w:rPr>
              <w:lastRenderedPageBreak/>
              <w:t>Model</w:t>
            </w:r>
          </w:p>
        </w:tc>
        <w:tc>
          <w:tcPr>
            <w:tcW w:w="855" w:type="dxa"/>
            <w:tcBorders>
              <w:top w:val="single" w:sz="4" w:space="0" w:color="auto"/>
              <w:bottom w:val="single" w:sz="4" w:space="0" w:color="auto"/>
            </w:tcBorders>
          </w:tcPr>
          <w:p w14:paraId="1ED02AA7" w14:textId="77777777" w:rsidR="00E34075" w:rsidRPr="007F78BA" w:rsidRDefault="00E34075" w:rsidP="002A5CF5">
            <w:pPr>
              <w:rPr>
                <w:rFonts w:ascii="Baskerville Old Face" w:hAnsi="Baskerville Old Face" w:cs="Times New Roman"/>
                <w:b/>
                <w:sz w:val="20"/>
                <w:szCs w:val="20"/>
                <w:lang w:val="en-GB"/>
              </w:rPr>
            </w:pPr>
            <w:r w:rsidRPr="007F78BA">
              <w:rPr>
                <w:rFonts w:ascii="Cambria" w:hAnsi="Cambria" w:cs="Cambria"/>
                <w:b/>
                <w:sz w:val="20"/>
                <w:szCs w:val="20"/>
                <w:lang w:val="en-GB"/>
              </w:rPr>
              <w:t>χ</w:t>
            </w:r>
            <w:r w:rsidRPr="007F78BA">
              <w:rPr>
                <w:rFonts w:ascii="Baskerville Old Face" w:hAnsi="Baskerville Old Face" w:cs="Times New Roman"/>
                <w:b/>
                <w:sz w:val="20"/>
                <w:szCs w:val="20"/>
                <w:lang w:val="en-GB"/>
              </w:rPr>
              <w:t>2 (</w:t>
            </w:r>
            <w:proofErr w:type="spellStart"/>
            <w:r w:rsidRPr="007F78BA">
              <w:rPr>
                <w:rFonts w:ascii="Baskerville Old Face" w:hAnsi="Baskerville Old Face" w:cs="Times New Roman"/>
                <w:b/>
                <w:sz w:val="20"/>
                <w:szCs w:val="20"/>
                <w:lang w:val="en-GB"/>
              </w:rPr>
              <w:t>df</w:t>
            </w:r>
            <w:proofErr w:type="spellEnd"/>
            <w:r w:rsidRPr="007F78BA">
              <w:rPr>
                <w:rFonts w:ascii="Baskerville Old Face" w:hAnsi="Baskerville Old Face" w:cs="Times New Roman"/>
                <w:b/>
                <w:sz w:val="20"/>
                <w:szCs w:val="20"/>
                <w:lang w:val="en-GB"/>
              </w:rPr>
              <w:t>)</w:t>
            </w:r>
          </w:p>
        </w:tc>
        <w:tc>
          <w:tcPr>
            <w:tcW w:w="659" w:type="dxa"/>
            <w:tcBorders>
              <w:top w:val="single" w:sz="4" w:space="0" w:color="auto"/>
              <w:bottom w:val="single" w:sz="4" w:space="0" w:color="auto"/>
            </w:tcBorders>
          </w:tcPr>
          <w:p w14:paraId="33010643" w14:textId="77777777" w:rsidR="00E34075" w:rsidRPr="007F78BA" w:rsidRDefault="00E34075" w:rsidP="002A5CF5">
            <w:pPr>
              <w:rPr>
                <w:rFonts w:ascii="Baskerville Old Face" w:hAnsi="Baskerville Old Face" w:cs="Times New Roman"/>
                <w:b/>
                <w:sz w:val="20"/>
                <w:szCs w:val="20"/>
                <w:lang w:val="en-GB"/>
              </w:rPr>
            </w:pPr>
            <w:r w:rsidRPr="007F78BA">
              <w:rPr>
                <w:rFonts w:ascii="Baskerville Old Face" w:hAnsi="Baskerville Old Face" w:cs="Times New Roman"/>
                <w:b/>
                <w:sz w:val="20"/>
                <w:szCs w:val="20"/>
                <w:lang w:val="en-GB"/>
              </w:rPr>
              <w:t>CFI</w:t>
            </w:r>
          </w:p>
        </w:tc>
        <w:tc>
          <w:tcPr>
            <w:tcW w:w="891" w:type="dxa"/>
            <w:tcBorders>
              <w:top w:val="single" w:sz="4" w:space="0" w:color="auto"/>
              <w:bottom w:val="single" w:sz="4" w:space="0" w:color="auto"/>
            </w:tcBorders>
          </w:tcPr>
          <w:p w14:paraId="4959F7A7" w14:textId="77777777" w:rsidR="00E34075" w:rsidRPr="007F78BA" w:rsidRDefault="00E34075" w:rsidP="002A5CF5">
            <w:pPr>
              <w:rPr>
                <w:rFonts w:ascii="Baskerville Old Face" w:hAnsi="Baskerville Old Face" w:cs="Times New Roman"/>
                <w:b/>
                <w:sz w:val="20"/>
                <w:szCs w:val="20"/>
                <w:lang w:val="en-GB"/>
              </w:rPr>
            </w:pPr>
            <w:r w:rsidRPr="007F78BA">
              <w:rPr>
                <w:rFonts w:ascii="Baskerville Old Face" w:hAnsi="Baskerville Old Face" w:cs="Times New Roman"/>
                <w:b/>
                <w:sz w:val="20"/>
                <w:szCs w:val="20"/>
                <w:lang w:val="en-GB"/>
              </w:rPr>
              <w:t>RMSEA (90% CI)</w:t>
            </w:r>
          </w:p>
        </w:tc>
        <w:tc>
          <w:tcPr>
            <w:tcW w:w="1220" w:type="dxa"/>
            <w:tcBorders>
              <w:top w:val="single" w:sz="4" w:space="0" w:color="auto"/>
              <w:bottom w:val="single" w:sz="4" w:space="0" w:color="auto"/>
            </w:tcBorders>
          </w:tcPr>
          <w:p w14:paraId="1B7EAE2B" w14:textId="77777777" w:rsidR="00E34075" w:rsidRPr="007F78BA" w:rsidRDefault="00E34075" w:rsidP="002A5CF5">
            <w:pPr>
              <w:rPr>
                <w:rFonts w:ascii="Baskerville Old Face" w:hAnsi="Baskerville Old Face" w:cs="Times New Roman"/>
                <w:b/>
                <w:sz w:val="20"/>
                <w:szCs w:val="20"/>
                <w:lang w:val="en-GB"/>
              </w:rPr>
            </w:pPr>
            <w:r w:rsidRPr="007F78BA">
              <w:rPr>
                <w:rFonts w:ascii="Baskerville Old Face" w:hAnsi="Baskerville Old Face" w:cs="Times New Roman"/>
                <w:b/>
                <w:sz w:val="20"/>
                <w:szCs w:val="20"/>
                <w:lang w:val="en-GB"/>
              </w:rPr>
              <w:t>Model Comparison</w:t>
            </w:r>
          </w:p>
        </w:tc>
        <w:tc>
          <w:tcPr>
            <w:tcW w:w="874" w:type="dxa"/>
            <w:tcBorders>
              <w:top w:val="single" w:sz="4" w:space="0" w:color="auto"/>
              <w:bottom w:val="single" w:sz="4" w:space="0" w:color="auto"/>
            </w:tcBorders>
          </w:tcPr>
          <w:p w14:paraId="65EC5BB2" w14:textId="77777777" w:rsidR="00E34075" w:rsidRPr="007F78BA" w:rsidRDefault="00E34075" w:rsidP="002A5CF5">
            <w:pPr>
              <w:rPr>
                <w:rFonts w:ascii="Baskerville Old Face" w:hAnsi="Baskerville Old Face" w:cs="Times New Roman"/>
                <w:b/>
                <w:sz w:val="20"/>
                <w:szCs w:val="20"/>
                <w:lang w:val="en-GB"/>
              </w:rPr>
            </w:pPr>
            <w:r w:rsidRPr="007F78BA">
              <w:rPr>
                <w:rFonts w:ascii="Cambria" w:hAnsi="Cambria" w:cs="Cambria"/>
                <w:b/>
                <w:sz w:val="20"/>
                <w:szCs w:val="20"/>
                <w:lang w:val="en-GB"/>
              </w:rPr>
              <w:t>Δχ</w:t>
            </w:r>
            <w:r w:rsidRPr="007F78BA">
              <w:rPr>
                <w:rFonts w:ascii="Baskerville Old Face" w:hAnsi="Baskerville Old Face" w:cs="Times New Roman"/>
                <w:b/>
                <w:sz w:val="20"/>
                <w:szCs w:val="20"/>
                <w:lang w:val="en-GB"/>
              </w:rPr>
              <w:t>2 (</w:t>
            </w:r>
            <w:proofErr w:type="spellStart"/>
            <w:r w:rsidRPr="007F78BA">
              <w:rPr>
                <w:rFonts w:ascii="Cambria" w:hAnsi="Cambria" w:cs="Cambria"/>
                <w:b/>
                <w:sz w:val="20"/>
                <w:szCs w:val="20"/>
                <w:lang w:val="en-GB"/>
              </w:rPr>
              <w:t>Δ</w:t>
            </w:r>
            <w:r w:rsidRPr="007F78BA">
              <w:rPr>
                <w:rFonts w:ascii="Baskerville Old Face" w:hAnsi="Baskerville Old Face" w:cs="Times New Roman"/>
                <w:b/>
                <w:sz w:val="20"/>
                <w:szCs w:val="20"/>
                <w:lang w:val="en-GB"/>
              </w:rPr>
              <w:t>df</w:t>
            </w:r>
            <w:proofErr w:type="spellEnd"/>
            <w:r w:rsidRPr="007F78BA">
              <w:rPr>
                <w:rFonts w:ascii="Baskerville Old Face" w:hAnsi="Baskerville Old Face" w:cs="Times New Roman"/>
                <w:b/>
                <w:sz w:val="20"/>
                <w:szCs w:val="20"/>
                <w:lang w:val="en-GB"/>
              </w:rPr>
              <w:t>)</w:t>
            </w:r>
          </w:p>
        </w:tc>
        <w:tc>
          <w:tcPr>
            <w:tcW w:w="692" w:type="dxa"/>
            <w:tcBorders>
              <w:top w:val="single" w:sz="4" w:space="0" w:color="auto"/>
              <w:bottom w:val="single" w:sz="4" w:space="0" w:color="auto"/>
            </w:tcBorders>
          </w:tcPr>
          <w:p w14:paraId="37869EB8" w14:textId="77777777" w:rsidR="00E34075" w:rsidRPr="007F78BA" w:rsidRDefault="00E34075" w:rsidP="002A5CF5">
            <w:pPr>
              <w:rPr>
                <w:rFonts w:ascii="Baskerville Old Face" w:hAnsi="Baskerville Old Face" w:cs="Times New Roman"/>
                <w:b/>
                <w:sz w:val="20"/>
                <w:szCs w:val="20"/>
                <w:lang w:val="en-GB"/>
              </w:rPr>
            </w:pPr>
            <w:r w:rsidRPr="007F78BA">
              <w:rPr>
                <w:rFonts w:ascii="Cambria" w:hAnsi="Cambria" w:cs="Cambria"/>
                <w:b/>
                <w:sz w:val="20"/>
                <w:szCs w:val="20"/>
                <w:lang w:val="en-GB"/>
              </w:rPr>
              <w:t>Δ</w:t>
            </w:r>
            <w:r w:rsidRPr="007F78BA">
              <w:rPr>
                <w:rFonts w:ascii="Baskerville Old Face" w:hAnsi="Baskerville Old Face" w:cs="Times New Roman"/>
                <w:b/>
                <w:sz w:val="20"/>
                <w:szCs w:val="20"/>
                <w:lang w:val="en-GB"/>
              </w:rPr>
              <w:t>CFI</w:t>
            </w:r>
          </w:p>
        </w:tc>
        <w:tc>
          <w:tcPr>
            <w:tcW w:w="1045" w:type="dxa"/>
            <w:tcBorders>
              <w:top w:val="single" w:sz="4" w:space="0" w:color="auto"/>
              <w:bottom w:val="single" w:sz="4" w:space="0" w:color="auto"/>
            </w:tcBorders>
          </w:tcPr>
          <w:p w14:paraId="4283D7A1" w14:textId="77777777" w:rsidR="00E34075" w:rsidRPr="007F78BA" w:rsidRDefault="00E34075" w:rsidP="002A5CF5">
            <w:pPr>
              <w:rPr>
                <w:rFonts w:ascii="Baskerville Old Face" w:hAnsi="Baskerville Old Face" w:cs="Times New Roman"/>
                <w:b/>
                <w:sz w:val="20"/>
                <w:szCs w:val="20"/>
                <w:lang w:val="en-GB"/>
              </w:rPr>
            </w:pPr>
            <w:r w:rsidRPr="007F78BA">
              <w:rPr>
                <w:rFonts w:ascii="Cambria" w:hAnsi="Cambria" w:cs="Cambria"/>
                <w:b/>
                <w:sz w:val="20"/>
                <w:szCs w:val="20"/>
                <w:lang w:val="en-GB"/>
              </w:rPr>
              <w:t>Δ</w:t>
            </w:r>
            <w:r w:rsidRPr="007F78BA">
              <w:rPr>
                <w:rFonts w:ascii="Baskerville Old Face" w:hAnsi="Baskerville Old Face" w:cs="Times New Roman"/>
                <w:b/>
                <w:sz w:val="20"/>
                <w:szCs w:val="20"/>
                <w:lang w:val="en-GB"/>
              </w:rPr>
              <w:t>RMSEA</w:t>
            </w:r>
          </w:p>
        </w:tc>
        <w:tc>
          <w:tcPr>
            <w:tcW w:w="937" w:type="dxa"/>
            <w:tcBorders>
              <w:top w:val="single" w:sz="4" w:space="0" w:color="auto"/>
              <w:bottom w:val="single" w:sz="4" w:space="0" w:color="auto"/>
            </w:tcBorders>
          </w:tcPr>
          <w:p w14:paraId="56F40CB6" w14:textId="77777777" w:rsidR="00E34075" w:rsidRPr="007F78BA" w:rsidRDefault="00E34075" w:rsidP="002A5CF5">
            <w:pPr>
              <w:rPr>
                <w:rFonts w:ascii="Baskerville Old Face" w:hAnsi="Baskerville Old Face" w:cs="Times New Roman"/>
                <w:b/>
                <w:sz w:val="20"/>
                <w:szCs w:val="20"/>
                <w:lang w:val="en-GB"/>
              </w:rPr>
            </w:pPr>
            <w:r w:rsidRPr="007F78BA">
              <w:rPr>
                <w:rFonts w:ascii="Baskerville Old Face" w:hAnsi="Baskerville Old Face" w:cs="Times New Roman"/>
                <w:b/>
                <w:sz w:val="20"/>
                <w:szCs w:val="20"/>
                <w:lang w:val="en-GB"/>
              </w:rPr>
              <w:t>Decision</w:t>
            </w:r>
          </w:p>
        </w:tc>
      </w:tr>
      <w:tr w:rsidR="00E34075" w:rsidRPr="007F78BA" w14:paraId="0F08B138" w14:textId="77777777" w:rsidTr="002A5CF5">
        <w:trPr>
          <w:trHeight w:val="353"/>
        </w:trPr>
        <w:tc>
          <w:tcPr>
            <w:tcW w:w="1562" w:type="dxa"/>
            <w:tcBorders>
              <w:top w:val="single" w:sz="4" w:space="0" w:color="auto"/>
            </w:tcBorders>
          </w:tcPr>
          <w:p w14:paraId="5342BE66"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M1: Configural Invariance</w:t>
            </w:r>
          </w:p>
          <w:p w14:paraId="428F3F13" w14:textId="77777777" w:rsidR="00E34075" w:rsidRPr="007F78BA" w:rsidRDefault="00E34075" w:rsidP="002A5CF5">
            <w:pPr>
              <w:rPr>
                <w:rFonts w:ascii="Baskerville Old Face" w:hAnsi="Baskerville Old Face" w:cs="Times New Roman"/>
                <w:sz w:val="20"/>
                <w:szCs w:val="20"/>
                <w:lang w:val="en-GB"/>
              </w:rPr>
            </w:pPr>
          </w:p>
        </w:tc>
        <w:tc>
          <w:tcPr>
            <w:tcW w:w="855" w:type="dxa"/>
            <w:tcBorders>
              <w:top w:val="single" w:sz="4" w:space="0" w:color="auto"/>
            </w:tcBorders>
          </w:tcPr>
          <w:p w14:paraId="0C738496"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740.55 (186)</w:t>
            </w:r>
          </w:p>
        </w:tc>
        <w:tc>
          <w:tcPr>
            <w:tcW w:w="659" w:type="dxa"/>
            <w:tcBorders>
              <w:top w:val="single" w:sz="4" w:space="0" w:color="auto"/>
            </w:tcBorders>
          </w:tcPr>
          <w:p w14:paraId="46B22950"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0.972</w:t>
            </w:r>
          </w:p>
        </w:tc>
        <w:tc>
          <w:tcPr>
            <w:tcW w:w="891" w:type="dxa"/>
            <w:tcBorders>
              <w:top w:val="single" w:sz="4" w:space="0" w:color="auto"/>
            </w:tcBorders>
          </w:tcPr>
          <w:p w14:paraId="3BE7AC18"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0.039 (0.036-0.042)</w:t>
            </w:r>
          </w:p>
        </w:tc>
        <w:tc>
          <w:tcPr>
            <w:tcW w:w="1220" w:type="dxa"/>
            <w:tcBorders>
              <w:top w:val="single" w:sz="4" w:space="0" w:color="auto"/>
            </w:tcBorders>
          </w:tcPr>
          <w:p w14:paraId="41C1D9E1"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w:t>
            </w:r>
          </w:p>
        </w:tc>
        <w:tc>
          <w:tcPr>
            <w:tcW w:w="874" w:type="dxa"/>
            <w:tcBorders>
              <w:top w:val="single" w:sz="4" w:space="0" w:color="auto"/>
            </w:tcBorders>
          </w:tcPr>
          <w:p w14:paraId="44D05951"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w:t>
            </w:r>
          </w:p>
        </w:tc>
        <w:tc>
          <w:tcPr>
            <w:tcW w:w="692" w:type="dxa"/>
            <w:tcBorders>
              <w:top w:val="single" w:sz="4" w:space="0" w:color="auto"/>
            </w:tcBorders>
          </w:tcPr>
          <w:p w14:paraId="07FF4455"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w:t>
            </w:r>
          </w:p>
        </w:tc>
        <w:tc>
          <w:tcPr>
            <w:tcW w:w="1045" w:type="dxa"/>
            <w:tcBorders>
              <w:top w:val="single" w:sz="4" w:space="0" w:color="auto"/>
            </w:tcBorders>
          </w:tcPr>
          <w:p w14:paraId="66ED246D"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w:t>
            </w:r>
          </w:p>
        </w:tc>
        <w:tc>
          <w:tcPr>
            <w:tcW w:w="937" w:type="dxa"/>
            <w:tcBorders>
              <w:top w:val="single" w:sz="4" w:space="0" w:color="auto"/>
            </w:tcBorders>
          </w:tcPr>
          <w:p w14:paraId="329B689A"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Accept</w:t>
            </w:r>
          </w:p>
        </w:tc>
      </w:tr>
      <w:tr w:rsidR="00E34075" w:rsidRPr="007F78BA" w14:paraId="318022BE" w14:textId="77777777" w:rsidTr="002A5CF5">
        <w:trPr>
          <w:trHeight w:val="379"/>
        </w:trPr>
        <w:tc>
          <w:tcPr>
            <w:tcW w:w="1562" w:type="dxa"/>
          </w:tcPr>
          <w:p w14:paraId="5B835994"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M2: Metric Invariance</w:t>
            </w:r>
          </w:p>
          <w:p w14:paraId="5910715C"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(Loadings)</w:t>
            </w:r>
          </w:p>
          <w:p w14:paraId="66D9B428" w14:textId="77777777" w:rsidR="00E34075" w:rsidRPr="007F78BA" w:rsidRDefault="00E34075" w:rsidP="002A5CF5">
            <w:pPr>
              <w:rPr>
                <w:rFonts w:ascii="Baskerville Old Face" w:hAnsi="Baskerville Old Face" w:cs="Times New Roman"/>
                <w:sz w:val="20"/>
                <w:szCs w:val="20"/>
                <w:lang w:val="en-GB"/>
              </w:rPr>
            </w:pPr>
          </w:p>
        </w:tc>
        <w:tc>
          <w:tcPr>
            <w:tcW w:w="855" w:type="dxa"/>
          </w:tcPr>
          <w:p w14:paraId="48E14549" w14:textId="37EC30EA"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8</w:t>
            </w:r>
            <w:r w:rsidR="00B10BBA">
              <w:rPr>
                <w:rFonts w:ascii="Baskerville Old Face" w:hAnsi="Baskerville Old Face" w:cs="Times New Roman"/>
                <w:sz w:val="20"/>
                <w:szCs w:val="20"/>
                <w:lang w:val="en-GB"/>
              </w:rPr>
              <w:t>,</w:t>
            </w:r>
            <w:r w:rsidRPr="007F78BA">
              <w:rPr>
                <w:rFonts w:ascii="Baskerville Old Face" w:hAnsi="Baskerville Old Face" w:cs="Times New Roman"/>
                <w:sz w:val="20"/>
                <w:szCs w:val="20"/>
                <w:lang w:val="en-GB"/>
              </w:rPr>
              <w:t>40.21</w:t>
            </w:r>
          </w:p>
          <w:p w14:paraId="052BEACC"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(197)</w:t>
            </w:r>
          </w:p>
        </w:tc>
        <w:tc>
          <w:tcPr>
            <w:tcW w:w="659" w:type="dxa"/>
          </w:tcPr>
          <w:p w14:paraId="00DB4F75"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0.968</w:t>
            </w:r>
          </w:p>
        </w:tc>
        <w:tc>
          <w:tcPr>
            <w:tcW w:w="891" w:type="dxa"/>
          </w:tcPr>
          <w:p w14:paraId="7883E995"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0.040 (0.038-0.043)</w:t>
            </w:r>
          </w:p>
        </w:tc>
        <w:tc>
          <w:tcPr>
            <w:tcW w:w="1220" w:type="dxa"/>
          </w:tcPr>
          <w:p w14:paraId="77A4EE2A"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M1</w:t>
            </w:r>
          </w:p>
        </w:tc>
        <w:tc>
          <w:tcPr>
            <w:tcW w:w="874" w:type="dxa"/>
          </w:tcPr>
          <w:p w14:paraId="0D51C25D"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11*** (99.66)</w:t>
            </w:r>
          </w:p>
        </w:tc>
        <w:tc>
          <w:tcPr>
            <w:tcW w:w="692" w:type="dxa"/>
          </w:tcPr>
          <w:p w14:paraId="149A1C11"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0.004</w:t>
            </w:r>
          </w:p>
        </w:tc>
        <w:tc>
          <w:tcPr>
            <w:tcW w:w="1045" w:type="dxa"/>
          </w:tcPr>
          <w:p w14:paraId="77336714"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0.002</w:t>
            </w:r>
          </w:p>
        </w:tc>
        <w:tc>
          <w:tcPr>
            <w:tcW w:w="937" w:type="dxa"/>
          </w:tcPr>
          <w:p w14:paraId="0A065F3B"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Accept</w:t>
            </w:r>
          </w:p>
        </w:tc>
      </w:tr>
      <w:tr w:rsidR="00E34075" w:rsidRPr="007F78BA" w14:paraId="785661FC" w14:textId="77777777" w:rsidTr="002A5CF5">
        <w:trPr>
          <w:trHeight w:val="379"/>
        </w:trPr>
        <w:tc>
          <w:tcPr>
            <w:tcW w:w="1562" w:type="dxa"/>
          </w:tcPr>
          <w:p w14:paraId="1BC1915E"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M3: Scalar Invariance</w:t>
            </w:r>
          </w:p>
          <w:p w14:paraId="6BF27B6B"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(Loadings + intercepts)</w:t>
            </w:r>
          </w:p>
          <w:p w14:paraId="5075A185" w14:textId="77777777" w:rsidR="00E34075" w:rsidRPr="007F78BA" w:rsidRDefault="00E34075" w:rsidP="002A5CF5">
            <w:pPr>
              <w:rPr>
                <w:rFonts w:ascii="Baskerville Old Face" w:hAnsi="Baskerville Old Face" w:cs="Times New Roman"/>
                <w:sz w:val="20"/>
                <w:szCs w:val="20"/>
                <w:lang w:val="en-GB"/>
              </w:rPr>
            </w:pPr>
          </w:p>
        </w:tc>
        <w:tc>
          <w:tcPr>
            <w:tcW w:w="855" w:type="dxa"/>
          </w:tcPr>
          <w:p w14:paraId="4BC249A7" w14:textId="590535C2"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1</w:t>
            </w:r>
            <w:r w:rsidR="00B10BBA">
              <w:rPr>
                <w:rFonts w:ascii="Baskerville Old Face" w:hAnsi="Baskerville Old Face" w:cs="Times New Roman"/>
                <w:sz w:val="20"/>
                <w:szCs w:val="20"/>
                <w:lang w:val="en-GB"/>
              </w:rPr>
              <w:t>,</w:t>
            </w:r>
            <w:r w:rsidRPr="007F78BA">
              <w:rPr>
                <w:rFonts w:ascii="Baskerville Old Face" w:hAnsi="Baskerville Old Face" w:cs="Times New Roman"/>
                <w:sz w:val="20"/>
                <w:szCs w:val="20"/>
                <w:lang w:val="en-GB"/>
              </w:rPr>
              <w:t>023.14</w:t>
            </w:r>
          </w:p>
          <w:p w14:paraId="77905971"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(208)</w:t>
            </w:r>
          </w:p>
        </w:tc>
        <w:tc>
          <w:tcPr>
            <w:tcW w:w="659" w:type="dxa"/>
          </w:tcPr>
          <w:p w14:paraId="77C432B7"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0.960</w:t>
            </w:r>
          </w:p>
        </w:tc>
        <w:tc>
          <w:tcPr>
            <w:tcW w:w="891" w:type="dxa"/>
          </w:tcPr>
          <w:p w14:paraId="3CDAA19F"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0.044 (0.042-0.047)</w:t>
            </w:r>
          </w:p>
        </w:tc>
        <w:tc>
          <w:tcPr>
            <w:tcW w:w="1220" w:type="dxa"/>
          </w:tcPr>
          <w:p w14:paraId="2A773671"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M2</w:t>
            </w:r>
          </w:p>
        </w:tc>
        <w:tc>
          <w:tcPr>
            <w:tcW w:w="874" w:type="dxa"/>
          </w:tcPr>
          <w:p w14:paraId="3A70532F"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11***</w:t>
            </w:r>
          </w:p>
          <w:p w14:paraId="02340C84"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(182.94)</w:t>
            </w:r>
          </w:p>
        </w:tc>
        <w:tc>
          <w:tcPr>
            <w:tcW w:w="692" w:type="dxa"/>
          </w:tcPr>
          <w:p w14:paraId="21D0E0A6"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0.009</w:t>
            </w:r>
          </w:p>
        </w:tc>
        <w:tc>
          <w:tcPr>
            <w:tcW w:w="1045" w:type="dxa"/>
          </w:tcPr>
          <w:p w14:paraId="6546F8BA"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0.004</w:t>
            </w:r>
          </w:p>
        </w:tc>
        <w:tc>
          <w:tcPr>
            <w:tcW w:w="937" w:type="dxa"/>
          </w:tcPr>
          <w:p w14:paraId="6EC0DFCB"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Accept</w:t>
            </w:r>
          </w:p>
        </w:tc>
      </w:tr>
      <w:tr w:rsidR="00E34075" w:rsidRPr="007F78BA" w14:paraId="4A4299D6" w14:textId="77777777" w:rsidTr="002A5CF5">
        <w:trPr>
          <w:trHeight w:val="353"/>
        </w:trPr>
        <w:tc>
          <w:tcPr>
            <w:tcW w:w="1562" w:type="dxa"/>
          </w:tcPr>
          <w:p w14:paraId="24F9E879"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M4: Residual Invariance</w:t>
            </w:r>
          </w:p>
          <w:p w14:paraId="22584167"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(Loadings + intercepts + residuals)</w:t>
            </w:r>
          </w:p>
          <w:p w14:paraId="2ED1BEEC" w14:textId="77777777" w:rsidR="00E34075" w:rsidRPr="007F78BA" w:rsidRDefault="00E34075" w:rsidP="002A5CF5">
            <w:pPr>
              <w:rPr>
                <w:rFonts w:ascii="Baskerville Old Face" w:hAnsi="Baskerville Old Face" w:cs="Times New Roman"/>
                <w:sz w:val="20"/>
                <w:szCs w:val="20"/>
                <w:lang w:val="en-GB"/>
              </w:rPr>
            </w:pPr>
          </w:p>
        </w:tc>
        <w:tc>
          <w:tcPr>
            <w:tcW w:w="855" w:type="dxa"/>
          </w:tcPr>
          <w:p w14:paraId="3F96278B" w14:textId="7AF9B798"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1</w:t>
            </w:r>
            <w:r w:rsidR="00B10BBA">
              <w:rPr>
                <w:rFonts w:ascii="Baskerville Old Face" w:hAnsi="Baskerville Old Face" w:cs="Times New Roman"/>
                <w:sz w:val="20"/>
                <w:szCs w:val="20"/>
                <w:lang w:val="en-GB"/>
              </w:rPr>
              <w:t>,</w:t>
            </w:r>
            <w:r w:rsidRPr="007F78BA">
              <w:rPr>
                <w:rFonts w:ascii="Baskerville Old Face" w:hAnsi="Baskerville Old Face" w:cs="Times New Roman"/>
                <w:sz w:val="20"/>
                <w:szCs w:val="20"/>
                <w:lang w:val="en-GB"/>
              </w:rPr>
              <w:t>874.94</w:t>
            </w:r>
          </w:p>
          <w:p w14:paraId="7E77E818"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(221)</w:t>
            </w:r>
          </w:p>
        </w:tc>
        <w:tc>
          <w:tcPr>
            <w:tcW w:w="659" w:type="dxa"/>
          </w:tcPr>
          <w:p w14:paraId="590FD070"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0.918</w:t>
            </w:r>
          </w:p>
        </w:tc>
        <w:tc>
          <w:tcPr>
            <w:tcW w:w="891" w:type="dxa"/>
          </w:tcPr>
          <w:p w14:paraId="4EBC2BEF"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0.061 (0.059-0.064)</w:t>
            </w:r>
          </w:p>
        </w:tc>
        <w:tc>
          <w:tcPr>
            <w:tcW w:w="1220" w:type="dxa"/>
          </w:tcPr>
          <w:p w14:paraId="23EE4219"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M3</w:t>
            </w:r>
          </w:p>
        </w:tc>
        <w:tc>
          <w:tcPr>
            <w:tcW w:w="874" w:type="dxa"/>
          </w:tcPr>
          <w:p w14:paraId="066A7D7F"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9*** (851.80)</w:t>
            </w:r>
          </w:p>
        </w:tc>
        <w:tc>
          <w:tcPr>
            <w:tcW w:w="692" w:type="dxa"/>
          </w:tcPr>
          <w:p w14:paraId="3E5D1E65"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0.008</w:t>
            </w:r>
          </w:p>
        </w:tc>
        <w:tc>
          <w:tcPr>
            <w:tcW w:w="1045" w:type="dxa"/>
          </w:tcPr>
          <w:p w14:paraId="1563D772"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0.003</w:t>
            </w:r>
          </w:p>
        </w:tc>
        <w:tc>
          <w:tcPr>
            <w:tcW w:w="937" w:type="dxa"/>
          </w:tcPr>
          <w:p w14:paraId="324CE038"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Reject</w:t>
            </w:r>
          </w:p>
        </w:tc>
      </w:tr>
      <w:tr w:rsidR="00E34075" w:rsidRPr="007F78BA" w14:paraId="2D11E10D" w14:textId="77777777" w:rsidTr="002A5CF5">
        <w:trPr>
          <w:trHeight w:val="1374"/>
        </w:trPr>
        <w:tc>
          <w:tcPr>
            <w:tcW w:w="1562" w:type="dxa"/>
            <w:tcBorders>
              <w:bottom w:val="single" w:sz="4" w:space="0" w:color="auto"/>
            </w:tcBorders>
          </w:tcPr>
          <w:p w14:paraId="78148A3E"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M4a: Partial Residual Invariance</w:t>
            </w:r>
          </w:p>
          <w:p w14:paraId="4708751E"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(Loadings + intercepts + residuals)</w:t>
            </w:r>
          </w:p>
          <w:p w14:paraId="2A81DED6" w14:textId="77777777" w:rsidR="00E34075" w:rsidRPr="007F78BA" w:rsidRDefault="00E34075" w:rsidP="002A5CF5">
            <w:pPr>
              <w:rPr>
                <w:rFonts w:ascii="Baskerville Old Face" w:hAnsi="Baskerville Old Face" w:cs="Times New Roman"/>
                <w:sz w:val="20"/>
                <w:szCs w:val="20"/>
                <w:lang w:val="en-GB"/>
              </w:rPr>
            </w:pPr>
          </w:p>
        </w:tc>
        <w:tc>
          <w:tcPr>
            <w:tcW w:w="855" w:type="dxa"/>
            <w:tcBorders>
              <w:bottom w:val="single" w:sz="4" w:space="0" w:color="auto"/>
            </w:tcBorders>
          </w:tcPr>
          <w:p w14:paraId="534E7089" w14:textId="58CE3CA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1</w:t>
            </w:r>
            <w:r w:rsidR="00B10BBA">
              <w:rPr>
                <w:rFonts w:ascii="Baskerville Old Face" w:hAnsi="Baskerville Old Face" w:cs="Times New Roman"/>
                <w:sz w:val="20"/>
                <w:szCs w:val="20"/>
                <w:lang w:val="en-GB"/>
              </w:rPr>
              <w:t>,704.08</w:t>
            </w:r>
          </w:p>
          <w:p w14:paraId="03402BD6" w14:textId="136F4A5E"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(2</w:t>
            </w:r>
            <w:r w:rsidR="00B10BBA">
              <w:rPr>
                <w:rFonts w:ascii="Baskerville Old Face" w:hAnsi="Baskerville Old Face" w:cs="Times New Roman"/>
                <w:sz w:val="20"/>
                <w:szCs w:val="20"/>
                <w:lang w:val="en-GB"/>
              </w:rPr>
              <w:t>23</w:t>
            </w:r>
            <w:r w:rsidRPr="007F78BA">
              <w:rPr>
                <w:rFonts w:ascii="Baskerville Old Face" w:hAnsi="Baskerville Old Face" w:cs="Times New Roman"/>
                <w:sz w:val="20"/>
                <w:szCs w:val="20"/>
                <w:lang w:val="en-GB"/>
              </w:rPr>
              <w:t>)</w:t>
            </w:r>
          </w:p>
        </w:tc>
        <w:tc>
          <w:tcPr>
            <w:tcW w:w="659" w:type="dxa"/>
            <w:tcBorders>
              <w:bottom w:val="single" w:sz="4" w:space="0" w:color="auto"/>
            </w:tcBorders>
          </w:tcPr>
          <w:p w14:paraId="4FDE7214" w14:textId="55715E4B"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0.9</w:t>
            </w:r>
            <w:r w:rsidR="002B73C9">
              <w:rPr>
                <w:rFonts w:ascii="Baskerville Old Face" w:hAnsi="Baskerville Old Face" w:cs="Times New Roman"/>
                <w:sz w:val="20"/>
                <w:szCs w:val="20"/>
                <w:lang w:val="en-GB"/>
              </w:rPr>
              <w:t>43</w:t>
            </w:r>
          </w:p>
        </w:tc>
        <w:tc>
          <w:tcPr>
            <w:tcW w:w="891" w:type="dxa"/>
            <w:tcBorders>
              <w:bottom w:val="single" w:sz="4" w:space="0" w:color="auto"/>
            </w:tcBorders>
          </w:tcPr>
          <w:p w14:paraId="23CB5218" w14:textId="7C4A2169"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0.0</w:t>
            </w:r>
            <w:r w:rsidR="002B73C9">
              <w:rPr>
                <w:rFonts w:ascii="Baskerville Old Face" w:hAnsi="Baskerville Old Face" w:cs="Times New Roman"/>
                <w:sz w:val="20"/>
                <w:szCs w:val="20"/>
                <w:lang w:val="en-GB"/>
              </w:rPr>
              <w:t>52</w:t>
            </w:r>
            <w:r w:rsidRPr="007F78BA">
              <w:rPr>
                <w:rFonts w:ascii="Baskerville Old Face" w:hAnsi="Baskerville Old Face" w:cs="Times New Roman"/>
                <w:sz w:val="20"/>
                <w:szCs w:val="20"/>
                <w:lang w:val="en-GB"/>
              </w:rPr>
              <w:t xml:space="preserve"> (0.04</w:t>
            </w:r>
            <w:r w:rsidR="002B73C9">
              <w:rPr>
                <w:rFonts w:ascii="Baskerville Old Face" w:hAnsi="Baskerville Old Face" w:cs="Times New Roman"/>
                <w:sz w:val="20"/>
                <w:szCs w:val="20"/>
                <w:lang w:val="en-GB"/>
              </w:rPr>
              <w:t>9</w:t>
            </w:r>
            <w:r w:rsidRPr="007F78BA">
              <w:rPr>
                <w:rFonts w:ascii="Baskerville Old Face" w:hAnsi="Baskerville Old Face" w:cs="Times New Roman"/>
                <w:sz w:val="20"/>
                <w:szCs w:val="20"/>
                <w:lang w:val="en-GB"/>
              </w:rPr>
              <w:t>-0.05</w:t>
            </w:r>
            <w:r w:rsidR="002B73C9">
              <w:rPr>
                <w:rFonts w:ascii="Baskerville Old Face" w:hAnsi="Baskerville Old Face" w:cs="Times New Roman"/>
                <w:sz w:val="20"/>
                <w:szCs w:val="20"/>
                <w:lang w:val="en-GB"/>
              </w:rPr>
              <w:t>4</w:t>
            </w:r>
            <w:r w:rsidRPr="007F78BA">
              <w:rPr>
                <w:rFonts w:ascii="Baskerville Old Face" w:hAnsi="Baskerville Old Face" w:cs="Times New Roman"/>
                <w:sz w:val="20"/>
                <w:szCs w:val="20"/>
                <w:lang w:val="en-GB"/>
              </w:rPr>
              <w:t>)</w:t>
            </w:r>
          </w:p>
        </w:tc>
        <w:tc>
          <w:tcPr>
            <w:tcW w:w="1220" w:type="dxa"/>
            <w:tcBorders>
              <w:bottom w:val="single" w:sz="4" w:space="0" w:color="auto"/>
            </w:tcBorders>
          </w:tcPr>
          <w:p w14:paraId="4A19319E"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M3</w:t>
            </w:r>
          </w:p>
        </w:tc>
        <w:tc>
          <w:tcPr>
            <w:tcW w:w="874" w:type="dxa"/>
            <w:tcBorders>
              <w:bottom w:val="single" w:sz="4" w:space="0" w:color="auto"/>
            </w:tcBorders>
          </w:tcPr>
          <w:p w14:paraId="43915E81" w14:textId="64D6DE83" w:rsidR="00E34075" w:rsidRPr="007F78BA" w:rsidRDefault="002B73C9" w:rsidP="002A5CF5">
            <w:pPr>
              <w:rPr>
                <w:rFonts w:ascii="Baskerville Old Face" w:hAnsi="Baskerville Old Face" w:cs="Times New Roman"/>
                <w:sz w:val="20"/>
                <w:szCs w:val="20"/>
                <w:lang w:val="en-GB"/>
              </w:rPr>
            </w:pPr>
            <w:r>
              <w:rPr>
                <w:rFonts w:ascii="Baskerville Old Face" w:hAnsi="Baskerville Old Face" w:cs="Times New Roman"/>
                <w:sz w:val="20"/>
                <w:szCs w:val="20"/>
                <w:lang w:val="en-GB"/>
              </w:rPr>
              <w:t>5</w:t>
            </w:r>
            <w:r w:rsidR="00E34075" w:rsidRPr="007F78BA">
              <w:rPr>
                <w:rFonts w:ascii="Baskerville Old Face" w:hAnsi="Baskerville Old Face" w:cs="Times New Roman"/>
                <w:sz w:val="20"/>
                <w:szCs w:val="20"/>
                <w:lang w:val="en-GB"/>
              </w:rPr>
              <w:t>*** (</w:t>
            </w:r>
            <w:r>
              <w:rPr>
                <w:rFonts w:ascii="Baskerville Old Face" w:hAnsi="Baskerville Old Face" w:cs="Times New Roman"/>
                <w:sz w:val="20"/>
                <w:szCs w:val="20"/>
                <w:lang w:val="en-GB"/>
              </w:rPr>
              <w:t>348.72</w:t>
            </w:r>
            <w:r w:rsidR="00E34075" w:rsidRPr="007F78BA">
              <w:rPr>
                <w:rFonts w:ascii="Baskerville Old Face" w:hAnsi="Baskerville Old Face" w:cs="Times New Roman"/>
                <w:sz w:val="20"/>
                <w:szCs w:val="20"/>
                <w:lang w:val="en-GB"/>
              </w:rPr>
              <w:t>)</w:t>
            </w:r>
          </w:p>
        </w:tc>
        <w:tc>
          <w:tcPr>
            <w:tcW w:w="692" w:type="dxa"/>
            <w:tcBorders>
              <w:bottom w:val="single" w:sz="4" w:space="0" w:color="auto"/>
            </w:tcBorders>
          </w:tcPr>
          <w:p w14:paraId="3AE3481D" w14:textId="3329FB44"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0.0</w:t>
            </w:r>
            <w:r w:rsidR="002B73C9">
              <w:rPr>
                <w:rFonts w:ascii="Baskerville Old Face" w:hAnsi="Baskerville Old Face" w:cs="Times New Roman"/>
                <w:sz w:val="20"/>
                <w:szCs w:val="20"/>
                <w:lang w:val="en-GB"/>
              </w:rPr>
              <w:t>17</w:t>
            </w:r>
          </w:p>
        </w:tc>
        <w:tc>
          <w:tcPr>
            <w:tcW w:w="1045" w:type="dxa"/>
            <w:tcBorders>
              <w:bottom w:val="single" w:sz="4" w:space="0" w:color="auto"/>
            </w:tcBorders>
          </w:tcPr>
          <w:p w14:paraId="3C5264CA" w14:textId="23B53C34"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0.0</w:t>
            </w:r>
            <w:r w:rsidR="002B73C9">
              <w:rPr>
                <w:rFonts w:ascii="Baskerville Old Face" w:hAnsi="Baskerville Old Face" w:cs="Times New Roman"/>
                <w:sz w:val="20"/>
                <w:szCs w:val="20"/>
                <w:lang w:val="en-GB"/>
              </w:rPr>
              <w:t>07</w:t>
            </w:r>
          </w:p>
        </w:tc>
        <w:tc>
          <w:tcPr>
            <w:tcW w:w="937" w:type="dxa"/>
            <w:tcBorders>
              <w:bottom w:val="single" w:sz="4" w:space="0" w:color="auto"/>
            </w:tcBorders>
          </w:tcPr>
          <w:p w14:paraId="3FF17492"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Accept</w:t>
            </w:r>
          </w:p>
        </w:tc>
      </w:tr>
    </w:tbl>
    <w:p w14:paraId="21F38BA9" w14:textId="77777777" w:rsidR="00E34075" w:rsidRPr="007F78BA" w:rsidRDefault="00E34075" w:rsidP="00E34075">
      <w:pPr>
        <w:tabs>
          <w:tab w:val="left" w:pos="3324"/>
        </w:tabs>
        <w:jc w:val="both"/>
        <w:rPr>
          <w:rFonts w:ascii="Times New Roman" w:hAnsi="Times New Roman" w:cs="Times New Roman"/>
          <w:bCs/>
          <w:sz w:val="20"/>
          <w:szCs w:val="20"/>
          <w:lang w:val="en-GB"/>
        </w:rPr>
      </w:pPr>
      <w:r w:rsidRPr="007F78BA">
        <w:rPr>
          <w:rFonts w:ascii="Times New Roman" w:hAnsi="Times New Roman" w:cs="Times New Roman"/>
          <w:b/>
          <w:bCs/>
          <w:sz w:val="20"/>
          <w:szCs w:val="20"/>
          <w:lang w:val="en-GB"/>
        </w:rPr>
        <w:t xml:space="preserve">CFI, </w:t>
      </w:r>
      <w:r w:rsidRPr="007F78BA">
        <w:rPr>
          <w:rFonts w:ascii="Times New Roman" w:hAnsi="Times New Roman" w:cs="Times New Roman"/>
          <w:bCs/>
          <w:sz w:val="20"/>
          <w:szCs w:val="20"/>
          <w:lang w:val="en-GB"/>
        </w:rPr>
        <w:t xml:space="preserve">Comparative Fit Index. </w:t>
      </w:r>
      <w:r w:rsidRPr="007F78BA">
        <w:rPr>
          <w:rFonts w:ascii="Times New Roman" w:hAnsi="Times New Roman" w:cs="Times New Roman"/>
          <w:b/>
          <w:bCs/>
          <w:sz w:val="20"/>
          <w:szCs w:val="20"/>
          <w:lang w:val="en-GB"/>
        </w:rPr>
        <w:t xml:space="preserve">TLI, </w:t>
      </w:r>
      <w:r w:rsidRPr="007F78BA">
        <w:rPr>
          <w:rFonts w:ascii="Times New Roman" w:hAnsi="Times New Roman" w:cs="Times New Roman"/>
          <w:bCs/>
          <w:sz w:val="20"/>
          <w:szCs w:val="20"/>
          <w:lang w:val="en-GB"/>
        </w:rPr>
        <w:t xml:space="preserve">Tucker-Lewis Index. </w:t>
      </w:r>
      <w:r w:rsidRPr="007F78BA">
        <w:rPr>
          <w:rFonts w:ascii="Times New Roman" w:hAnsi="Times New Roman" w:cs="Times New Roman"/>
          <w:b/>
          <w:bCs/>
          <w:sz w:val="20"/>
          <w:szCs w:val="20"/>
          <w:lang w:val="en-GB"/>
        </w:rPr>
        <w:t xml:space="preserve">RMSEA, </w:t>
      </w:r>
      <w:r w:rsidRPr="007F78BA">
        <w:rPr>
          <w:rFonts w:ascii="Times New Roman" w:hAnsi="Times New Roman" w:cs="Times New Roman"/>
          <w:bCs/>
          <w:sz w:val="20"/>
          <w:szCs w:val="20"/>
          <w:lang w:val="en-GB"/>
        </w:rPr>
        <w:t xml:space="preserve">Root Mean Square Error of Approximation. </w:t>
      </w:r>
      <w:r w:rsidRPr="007F78BA">
        <w:rPr>
          <w:rFonts w:ascii="Times New Roman" w:hAnsi="Times New Roman" w:cs="Times New Roman"/>
          <w:b/>
          <w:bCs/>
          <w:sz w:val="20"/>
          <w:szCs w:val="20"/>
          <w:lang w:val="en-GB"/>
        </w:rPr>
        <w:t xml:space="preserve">SRMR, </w:t>
      </w:r>
      <w:r w:rsidRPr="007F78BA">
        <w:rPr>
          <w:rFonts w:ascii="Times New Roman" w:hAnsi="Times New Roman" w:cs="Times New Roman"/>
          <w:bCs/>
          <w:sz w:val="20"/>
          <w:szCs w:val="20"/>
          <w:lang w:val="en-GB"/>
        </w:rPr>
        <w:t xml:space="preserve">Standardized Root Mean Square Residual. </w:t>
      </w:r>
    </w:p>
    <w:p w14:paraId="1741A75E" w14:textId="77777777" w:rsidR="00E34075" w:rsidRPr="007F78BA" w:rsidRDefault="00E34075" w:rsidP="00E34075">
      <w:pPr>
        <w:rPr>
          <w:rFonts w:ascii="Times New Roman" w:hAnsi="Times New Roman" w:cs="Times New Roman"/>
          <w:lang w:val="en-GB"/>
        </w:rPr>
      </w:pPr>
    </w:p>
    <w:p w14:paraId="4CBE73E0" w14:textId="5A10140F" w:rsidR="00E34075" w:rsidRPr="007F78BA" w:rsidRDefault="00E34075" w:rsidP="00E34075">
      <w:pPr>
        <w:pStyle w:val="Overskrift2"/>
        <w:rPr>
          <w:lang w:val="en-GB"/>
        </w:rPr>
      </w:pPr>
      <w:r w:rsidRPr="007F78BA">
        <w:rPr>
          <w:lang w:val="en-GB"/>
        </w:rPr>
        <w:t>Structural Equation Modelling: Model Fit and Structural Constraints</w:t>
      </w:r>
    </w:p>
    <w:p w14:paraId="41703117" w14:textId="77777777" w:rsidR="00E34075" w:rsidRPr="007F78BA" w:rsidRDefault="00E34075" w:rsidP="00E34075">
      <w:pPr>
        <w:pStyle w:val="Overskrift3"/>
        <w:rPr>
          <w:lang w:val="en-GB"/>
        </w:rPr>
      </w:pPr>
      <w:r w:rsidRPr="007F78BA">
        <w:rPr>
          <w:rStyle w:val="Svakutheving"/>
          <w:i/>
          <w:iCs w:val="0"/>
          <w:color w:val="000000" w:themeColor="text1"/>
          <w:lang w:val="en-GB"/>
        </w:rPr>
        <w:t>Model Fit</w:t>
      </w:r>
    </w:p>
    <w:p w14:paraId="08181B99" w14:textId="77777777" w:rsidR="00E34075" w:rsidRPr="007F78BA" w:rsidRDefault="00E34075" w:rsidP="00E34075">
      <w:pPr>
        <w:spacing w:line="276" w:lineRule="auto"/>
        <w:ind w:firstLine="720"/>
        <w:jc w:val="both"/>
        <w:rPr>
          <w:rFonts w:ascii="Times New Roman" w:eastAsia="Times New Roman" w:hAnsi="Times New Roman" w:cs="Times New Roman"/>
          <w:lang w:val="en-GB"/>
        </w:rPr>
      </w:pPr>
      <w:r w:rsidRPr="007F78BA">
        <w:rPr>
          <w:rFonts w:ascii="Times New Roman" w:eastAsia="Times New Roman" w:hAnsi="Times New Roman" w:cs="Times New Roman"/>
          <w:lang w:val="en-GB"/>
        </w:rPr>
        <w:t xml:space="preserve">The fit indices for the SEM models are shown in Table 2. The SEM output for these fit indices suggested that the hypothesized model for Spain (CFI=0.97, TLI=0.96, RMSEA=0.038 (90% CI: 0.035-0.041)), for Turkey (CFI=0.95, TLI=0.94, RMSEA=0.042 (90% CI: 0.033-0.051)), and for the multigroup model (CFI=0.97, TLI=0.96, RMSEA=0.039 (90% CI: 0.039-0.042)) were a good fit to data. </w:t>
      </w:r>
    </w:p>
    <w:p w14:paraId="1FE760B3" w14:textId="77777777" w:rsidR="00E34075" w:rsidRPr="007F78BA" w:rsidRDefault="00E34075" w:rsidP="00E34075">
      <w:pPr>
        <w:spacing w:line="276" w:lineRule="auto"/>
        <w:ind w:firstLine="720"/>
        <w:jc w:val="both"/>
        <w:rPr>
          <w:rFonts w:ascii="Times New Roman" w:eastAsia="Times New Roman" w:hAnsi="Times New Roman" w:cs="Times New Roman"/>
          <w:lang w:val="en-GB"/>
        </w:rPr>
      </w:pPr>
      <w:r w:rsidRPr="007F78BA">
        <w:rPr>
          <w:rFonts w:ascii="Times New Roman" w:eastAsia="Times New Roman" w:hAnsi="Times New Roman" w:cs="Times New Roman"/>
          <w:lang w:val="en-GB"/>
        </w:rPr>
        <w:t xml:space="preserve">The last step in determining whether our SEM model’s results were attributable to actual differences across groups, instead of differences of coefficients and parameters estimated from covariances derived from different subsets. Row 4 in Table 2 shows the comparison results of the free multigroup model versus constrained (paths and intercepts) multigroup model. The result (P-value = 0.30) allowed us to conclude that the constrained model was equivalent to the free model. In other words, the coefficients did not vary by group and comparisons across groups could be interpreted validly within a multigroup model. </w:t>
      </w:r>
    </w:p>
    <w:p w14:paraId="0A757BA3" w14:textId="77777777" w:rsidR="00E34075" w:rsidRPr="007F78BA" w:rsidRDefault="00E34075" w:rsidP="00E34075">
      <w:pPr>
        <w:rPr>
          <w:rFonts w:ascii="Times New Roman" w:hAnsi="Times New Roman" w:cs="Times New Roman"/>
          <w:lang w:val="en-GB"/>
        </w:rPr>
      </w:pPr>
    </w:p>
    <w:p w14:paraId="5814D010" w14:textId="77777777" w:rsidR="00E34075" w:rsidRPr="007F78BA" w:rsidRDefault="00E34075" w:rsidP="00E34075">
      <w:pPr>
        <w:rPr>
          <w:rFonts w:ascii="Times New Roman" w:hAnsi="Times New Roman" w:cs="Times New Roman"/>
          <w:lang w:val="en-GB"/>
        </w:rPr>
      </w:pPr>
      <w:r w:rsidRPr="007F78BA">
        <w:rPr>
          <w:rFonts w:ascii="Times New Roman" w:hAnsi="Times New Roman" w:cs="Times New Roman"/>
          <w:b/>
          <w:lang w:val="en-GB"/>
        </w:rPr>
        <w:t>Table 2.</w:t>
      </w:r>
      <w:r w:rsidRPr="007F78BA">
        <w:rPr>
          <w:rFonts w:ascii="Times New Roman" w:hAnsi="Times New Roman" w:cs="Times New Roman"/>
          <w:lang w:val="en-GB"/>
        </w:rPr>
        <w:t xml:space="preserve"> SEM Fit Indices and Structural Constraints</w:t>
      </w:r>
    </w:p>
    <w:tbl>
      <w:tblPr>
        <w:tblStyle w:val="Tabellrutenett"/>
        <w:tblpPr w:leftFromText="180" w:rightFromText="180" w:vertAnchor="text" w:horzAnchor="margin" w:tblpY="132"/>
        <w:tblW w:w="8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658"/>
        <w:gridCol w:w="989"/>
        <w:gridCol w:w="659"/>
        <w:gridCol w:w="881"/>
        <w:gridCol w:w="1481"/>
        <w:gridCol w:w="659"/>
        <w:gridCol w:w="506"/>
        <w:gridCol w:w="787"/>
      </w:tblGrid>
      <w:tr w:rsidR="00E34075" w:rsidRPr="007F78BA" w14:paraId="320BCE67" w14:textId="77777777" w:rsidTr="002A5CF5">
        <w:trPr>
          <w:trHeight w:val="364"/>
        </w:trPr>
        <w:tc>
          <w:tcPr>
            <w:tcW w:w="1972" w:type="dxa"/>
            <w:tcBorders>
              <w:top w:val="single" w:sz="4" w:space="0" w:color="auto"/>
              <w:bottom w:val="single" w:sz="4" w:space="0" w:color="auto"/>
            </w:tcBorders>
          </w:tcPr>
          <w:p w14:paraId="317EEA54" w14:textId="77777777" w:rsidR="00E34075" w:rsidRPr="007F78BA" w:rsidRDefault="00E34075" w:rsidP="002A5CF5">
            <w:pPr>
              <w:rPr>
                <w:rFonts w:ascii="Baskerville Old Face" w:hAnsi="Baskerville Old Face" w:cs="Times New Roman"/>
                <w:b/>
                <w:sz w:val="20"/>
                <w:szCs w:val="20"/>
                <w:lang w:val="en-GB"/>
              </w:rPr>
            </w:pPr>
            <w:r w:rsidRPr="007F78BA">
              <w:rPr>
                <w:rFonts w:ascii="Baskerville Old Face" w:hAnsi="Baskerville Old Face" w:cs="Times New Roman"/>
                <w:b/>
                <w:sz w:val="20"/>
                <w:szCs w:val="20"/>
                <w:lang w:val="en-GB"/>
              </w:rPr>
              <w:t>Model</w:t>
            </w:r>
          </w:p>
        </w:tc>
        <w:tc>
          <w:tcPr>
            <w:tcW w:w="658" w:type="dxa"/>
            <w:tcBorders>
              <w:top w:val="single" w:sz="4" w:space="0" w:color="auto"/>
              <w:bottom w:val="single" w:sz="4" w:space="0" w:color="auto"/>
            </w:tcBorders>
          </w:tcPr>
          <w:p w14:paraId="6CF05D4C" w14:textId="77777777" w:rsidR="00E34075" w:rsidRPr="007F78BA" w:rsidRDefault="00E34075" w:rsidP="002A5CF5">
            <w:pPr>
              <w:rPr>
                <w:rFonts w:ascii="Cambria" w:hAnsi="Cambria" w:cs="Cambria"/>
                <w:b/>
                <w:sz w:val="20"/>
                <w:szCs w:val="20"/>
                <w:lang w:val="en-GB"/>
              </w:rPr>
            </w:pPr>
            <w:r w:rsidRPr="007F78BA">
              <w:rPr>
                <w:rFonts w:ascii="Cambria" w:hAnsi="Cambria" w:cs="Cambria"/>
                <w:b/>
                <w:sz w:val="20"/>
                <w:szCs w:val="20"/>
                <w:lang w:val="en-GB"/>
              </w:rPr>
              <w:t>N</w:t>
            </w:r>
          </w:p>
        </w:tc>
        <w:tc>
          <w:tcPr>
            <w:tcW w:w="989" w:type="dxa"/>
            <w:tcBorders>
              <w:top w:val="single" w:sz="4" w:space="0" w:color="auto"/>
              <w:bottom w:val="single" w:sz="4" w:space="0" w:color="auto"/>
            </w:tcBorders>
          </w:tcPr>
          <w:p w14:paraId="5C382312" w14:textId="77777777" w:rsidR="00E34075" w:rsidRPr="007F78BA" w:rsidRDefault="00E34075" w:rsidP="002A5CF5">
            <w:pPr>
              <w:rPr>
                <w:rFonts w:ascii="Baskerville Old Face" w:hAnsi="Baskerville Old Face" w:cs="Times New Roman"/>
                <w:b/>
                <w:sz w:val="20"/>
                <w:szCs w:val="20"/>
                <w:lang w:val="en-GB"/>
              </w:rPr>
            </w:pPr>
            <w:r w:rsidRPr="007F78BA">
              <w:rPr>
                <w:rFonts w:ascii="Cambria" w:hAnsi="Cambria" w:cs="Cambria"/>
                <w:b/>
                <w:sz w:val="20"/>
                <w:szCs w:val="20"/>
                <w:lang w:val="en-GB"/>
              </w:rPr>
              <w:t>χ</w:t>
            </w:r>
            <w:r w:rsidRPr="007F78BA">
              <w:rPr>
                <w:rFonts w:ascii="Baskerville Old Face" w:hAnsi="Baskerville Old Face" w:cs="Times New Roman"/>
                <w:b/>
                <w:sz w:val="20"/>
                <w:szCs w:val="20"/>
                <w:lang w:val="en-GB"/>
              </w:rPr>
              <w:t>2 (</w:t>
            </w:r>
            <w:proofErr w:type="spellStart"/>
            <w:r w:rsidRPr="007F78BA">
              <w:rPr>
                <w:rFonts w:ascii="Baskerville Old Face" w:hAnsi="Baskerville Old Face" w:cs="Times New Roman"/>
                <w:b/>
                <w:sz w:val="20"/>
                <w:szCs w:val="20"/>
                <w:lang w:val="en-GB"/>
              </w:rPr>
              <w:t>df</w:t>
            </w:r>
            <w:proofErr w:type="spellEnd"/>
            <w:r w:rsidRPr="007F78BA">
              <w:rPr>
                <w:rFonts w:ascii="Baskerville Old Face" w:hAnsi="Baskerville Old Face" w:cs="Times New Roman"/>
                <w:b/>
                <w:sz w:val="20"/>
                <w:szCs w:val="20"/>
                <w:lang w:val="en-GB"/>
              </w:rPr>
              <w:t>)</w:t>
            </w:r>
          </w:p>
        </w:tc>
        <w:tc>
          <w:tcPr>
            <w:tcW w:w="659" w:type="dxa"/>
            <w:tcBorders>
              <w:top w:val="single" w:sz="4" w:space="0" w:color="auto"/>
              <w:bottom w:val="single" w:sz="4" w:space="0" w:color="auto"/>
            </w:tcBorders>
          </w:tcPr>
          <w:p w14:paraId="70A64A1E" w14:textId="77777777" w:rsidR="00E34075" w:rsidRPr="007F78BA" w:rsidRDefault="00E34075" w:rsidP="002A5CF5">
            <w:pPr>
              <w:rPr>
                <w:rFonts w:ascii="Baskerville Old Face" w:hAnsi="Baskerville Old Face" w:cs="Times New Roman"/>
                <w:b/>
                <w:sz w:val="20"/>
                <w:szCs w:val="20"/>
                <w:lang w:val="en-GB"/>
              </w:rPr>
            </w:pPr>
            <w:r w:rsidRPr="007F78BA">
              <w:rPr>
                <w:rFonts w:ascii="Baskerville Old Face" w:hAnsi="Baskerville Old Face" w:cs="Times New Roman"/>
                <w:b/>
                <w:sz w:val="20"/>
                <w:szCs w:val="20"/>
                <w:lang w:val="en-GB"/>
              </w:rPr>
              <w:t>CFI</w:t>
            </w:r>
          </w:p>
        </w:tc>
        <w:tc>
          <w:tcPr>
            <w:tcW w:w="881" w:type="dxa"/>
            <w:tcBorders>
              <w:top w:val="single" w:sz="4" w:space="0" w:color="auto"/>
              <w:bottom w:val="single" w:sz="4" w:space="0" w:color="auto"/>
            </w:tcBorders>
          </w:tcPr>
          <w:p w14:paraId="36766646" w14:textId="77777777" w:rsidR="00E34075" w:rsidRPr="007F78BA" w:rsidRDefault="00E34075" w:rsidP="002A5CF5">
            <w:pPr>
              <w:rPr>
                <w:rFonts w:ascii="Baskerville Old Face" w:hAnsi="Baskerville Old Face" w:cs="Times New Roman"/>
                <w:b/>
                <w:sz w:val="20"/>
                <w:szCs w:val="20"/>
                <w:lang w:val="en-GB"/>
              </w:rPr>
            </w:pPr>
            <w:r w:rsidRPr="007F78BA">
              <w:rPr>
                <w:rFonts w:ascii="Baskerville Old Face" w:hAnsi="Baskerville Old Face" w:cs="Times New Roman"/>
                <w:b/>
                <w:sz w:val="20"/>
                <w:szCs w:val="20"/>
                <w:lang w:val="en-GB"/>
              </w:rPr>
              <w:t>TLI</w:t>
            </w:r>
          </w:p>
        </w:tc>
        <w:tc>
          <w:tcPr>
            <w:tcW w:w="1481" w:type="dxa"/>
            <w:tcBorders>
              <w:top w:val="single" w:sz="4" w:space="0" w:color="auto"/>
              <w:bottom w:val="single" w:sz="4" w:space="0" w:color="auto"/>
            </w:tcBorders>
          </w:tcPr>
          <w:p w14:paraId="773E4B31" w14:textId="77777777" w:rsidR="00E34075" w:rsidRPr="007F78BA" w:rsidRDefault="00E34075" w:rsidP="002A5CF5">
            <w:pPr>
              <w:rPr>
                <w:rFonts w:ascii="Baskerville Old Face" w:hAnsi="Baskerville Old Face" w:cs="Times New Roman"/>
                <w:b/>
                <w:sz w:val="20"/>
                <w:szCs w:val="20"/>
                <w:lang w:val="en-GB"/>
              </w:rPr>
            </w:pPr>
            <w:r w:rsidRPr="007F78BA">
              <w:rPr>
                <w:rFonts w:ascii="Baskerville Old Face" w:hAnsi="Baskerville Old Face" w:cs="Times New Roman"/>
                <w:b/>
                <w:sz w:val="20"/>
                <w:szCs w:val="20"/>
                <w:lang w:val="en-GB"/>
              </w:rPr>
              <w:t>RMSEA (90% CI)</w:t>
            </w:r>
          </w:p>
        </w:tc>
        <w:tc>
          <w:tcPr>
            <w:tcW w:w="659" w:type="dxa"/>
            <w:tcBorders>
              <w:top w:val="single" w:sz="4" w:space="0" w:color="auto"/>
              <w:bottom w:val="single" w:sz="4" w:space="0" w:color="auto"/>
            </w:tcBorders>
          </w:tcPr>
          <w:p w14:paraId="2BD786BF" w14:textId="77777777" w:rsidR="00E34075" w:rsidRPr="007F78BA" w:rsidRDefault="00E34075" w:rsidP="002A5CF5">
            <w:pPr>
              <w:rPr>
                <w:rFonts w:ascii="Baskerville Old Face" w:hAnsi="Baskerville Old Face" w:cs="Times New Roman"/>
                <w:b/>
                <w:sz w:val="20"/>
                <w:szCs w:val="20"/>
                <w:lang w:val="en-GB"/>
              </w:rPr>
            </w:pPr>
            <w:r w:rsidRPr="007F78BA">
              <w:rPr>
                <w:rFonts w:ascii="Cambria" w:hAnsi="Cambria" w:cs="Cambria"/>
                <w:b/>
                <w:sz w:val="20"/>
                <w:szCs w:val="20"/>
                <w:lang w:val="en-GB"/>
              </w:rPr>
              <w:t>Δχ</w:t>
            </w:r>
            <w:r w:rsidRPr="007F78BA">
              <w:rPr>
                <w:rFonts w:ascii="Baskerville Old Face" w:hAnsi="Baskerville Old Face" w:cs="Times New Roman"/>
                <w:b/>
                <w:sz w:val="20"/>
                <w:szCs w:val="20"/>
                <w:lang w:val="en-GB"/>
              </w:rPr>
              <w:t>2</w:t>
            </w:r>
          </w:p>
        </w:tc>
        <w:tc>
          <w:tcPr>
            <w:tcW w:w="506" w:type="dxa"/>
            <w:tcBorders>
              <w:top w:val="single" w:sz="4" w:space="0" w:color="auto"/>
              <w:bottom w:val="single" w:sz="4" w:space="0" w:color="auto"/>
            </w:tcBorders>
          </w:tcPr>
          <w:p w14:paraId="06590F41" w14:textId="77777777" w:rsidR="00E34075" w:rsidRPr="007F78BA" w:rsidRDefault="00E34075" w:rsidP="002A5CF5">
            <w:pPr>
              <w:rPr>
                <w:rFonts w:ascii="Baskerville Old Face" w:hAnsi="Baskerville Old Face" w:cs="Times New Roman"/>
                <w:b/>
                <w:sz w:val="20"/>
                <w:szCs w:val="20"/>
                <w:lang w:val="en-GB"/>
              </w:rPr>
            </w:pPr>
            <w:proofErr w:type="spellStart"/>
            <w:r w:rsidRPr="007F78BA">
              <w:rPr>
                <w:rFonts w:ascii="Cambria" w:hAnsi="Cambria" w:cs="Cambria"/>
                <w:b/>
                <w:sz w:val="20"/>
                <w:szCs w:val="20"/>
                <w:lang w:val="en-GB"/>
              </w:rPr>
              <w:t>Δ</w:t>
            </w:r>
            <w:r w:rsidRPr="007F78BA">
              <w:rPr>
                <w:rFonts w:ascii="Baskerville Old Face" w:hAnsi="Baskerville Old Face" w:cs="Times New Roman"/>
                <w:b/>
                <w:sz w:val="20"/>
                <w:szCs w:val="20"/>
                <w:lang w:val="en-GB"/>
              </w:rPr>
              <w:t>df</w:t>
            </w:r>
            <w:proofErr w:type="spellEnd"/>
          </w:p>
        </w:tc>
        <w:tc>
          <w:tcPr>
            <w:tcW w:w="787" w:type="dxa"/>
            <w:tcBorders>
              <w:top w:val="single" w:sz="4" w:space="0" w:color="auto"/>
              <w:bottom w:val="single" w:sz="4" w:space="0" w:color="auto"/>
            </w:tcBorders>
          </w:tcPr>
          <w:p w14:paraId="21AAD721" w14:textId="77777777" w:rsidR="00E34075" w:rsidRPr="007F78BA" w:rsidRDefault="00E34075" w:rsidP="002A5CF5">
            <w:pPr>
              <w:rPr>
                <w:rFonts w:ascii="Cambria" w:hAnsi="Cambria" w:cs="Cambria"/>
                <w:b/>
                <w:sz w:val="20"/>
                <w:szCs w:val="20"/>
                <w:lang w:val="en-GB"/>
              </w:rPr>
            </w:pPr>
            <w:r w:rsidRPr="007F78BA">
              <w:rPr>
                <w:rFonts w:ascii="Cambria" w:hAnsi="Cambria" w:cs="Cambria"/>
                <w:b/>
                <w:sz w:val="20"/>
                <w:szCs w:val="20"/>
                <w:lang w:val="en-GB"/>
              </w:rPr>
              <w:t>P-Value</w:t>
            </w:r>
          </w:p>
        </w:tc>
      </w:tr>
      <w:tr w:rsidR="00E34075" w:rsidRPr="007F78BA" w14:paraId="1AC975EF" w14:textId="77777777" w:rsidTr="002A5CF5">
        <w:trPr>
          <w:trHeight w:val="340"/>
        </w:trPr>
        <w:tc>
          <w:tcPr>
            <w:tcW w:w="1972" w:type="dxa"/>
            <w:tcBorders>
              <w:top w:val="single" w:sz="4" w:space="0" w:color="auto"/>
            </w:tcBorders>
          </w:tcPr>
          <w:p w14:paraId="09FA0EDA"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(1) Hypothesized Model for Spain</w:t>
            </w:r>
          </w:p>
          <w:p w14:paraId="591874F8" w14:textId="77777777" w:rsidR="00E34075" w:rsidRPr="007F78BA" w:rsidRDefault="00E34075" w:rsidP="002A5CF5">
            <w:pPr>
              <w:rPr>
                <w:rFonts w:ascii="Baskerville Old Face" w:hAnsi="Baskerville Old Face" w:cs="Times New Roman"/>
                <w:sz w:val="20"/>
                <w:szCs w:val="20"/>
                <w:lang w:val="en-GB"/>
              </w:rPr>
            </w:pPr>
          </w:p>
        </w:tc>
        <w:tc>
          <w:tcPr>
            <w:tcW w:w="658" w:type="dxa"/>
            <w:tcBorders>
              <w:top w:val="single" w:sz="4" w:space="0" w:color="auto"/>
            </w:tcBorders>
          </w:tcPr>
          <w:p w14:paraId="1A4C3BA4"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3,336</w:t>
            </w:r>
          </w:p>
        </w:tc>
        <w:tc>
          <w:tcPr>
            <w:tcW w:w="989" w:type="dxa"/>
            <w:tcBorders>
              <w:top w:val="single" w:sz="4" w:space="0" w:color="auto"/>
            </w:tcBorders>
          </w:tcPr>
          <w:p w14:paraId="7998CB7B"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555.619 (93)</w:t>
            </w:r>
          </w:p>
        </w:tc>
        <w:tc>
          <w:tcPr>
            <w:tcW w:w="659" w:type="dxa"/>
            <w:tcBorders>
              <w:top w:val="single" w:sz="4" w:space="0" w:color="auto"/>
            </w:tcBorders>
          </w:tcPr>
          <w:p w14:paraId="75C323C5"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0.975</w:t>
            </w:r>
          </w:p>
        </w:tc>
        <w:tc>
          <w:tcPr>
            <w:tcW w:w="881" w:type="dxa"/>
            <w:tcBorders>
              <w:top w:val="single" w:sz="4" w:space="0" w:color="auto"/>
            </w:tcBorders>
          </w:tcPr>
          <w:p w14:paraId="5A402098"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0.967</w:t>
            </w:r>
          </w:p>
        </w:tc>
        <w:tc>
          <w:tcPr>
            <w:tcW w:w="1481" w:type="dxa"/>
            <w:tcBorders>
              <w:top w:val="single" w:sz="4" w:space="0" w:color="auto"/>
            </w:tcBorders>
          </w:tcPr>
          <w:p w14:paraId="692F53F0"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0.038 (0.035-0.041)</w:t>
            </w:r>
          </w:p>
        </w:tc>
        <w:tc>
          <w:tcPr>
            <w:tcW w:w="659" w:type="dxa"/>
            <w:tcBorders>
              <w:top w:val="single" w:sz="4" w:space="0" w:color="auto"/>
            </w:tcBorders>
          </w:tcPr>
          <w:p w14:paraId="57B40D88"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w:t>
            </w:r>
          </w:p>
        </w:tc>
        <w:tc>
          <w:tcPr>
            <w:tcW w:w="506" w:type="dxa"/>
            <w:tcBorders>
              <w:top w:val="single" w:sz="4" w:space="0" w:color="auto"/>
            </w:tcBorders>
          </w:tcPr>
          <w:p w14:paraId="3177F119"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w:t>
            </w:r>
          </w:p>
        </w:tc>
        <w:tc>
          <w:tcPr>
            <w:tcW w:w="787" w:type="dxa"/>
            <w:tcBorders>
              <w:top w:val="single" w:sz="4" w:space="0" w:color="auto"/>
            </w:tcBorders>
          </w:tcPr>
          <w:p w14:paraId="61692BFD"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w:t>
            </w:r>
          </w:p>
        </w:tc>
      </w:tr>
      <w:tr w:rsidR="00E34075" w:rsidRPr="007F78BA" w14:paraId="41CFAA52" w14:textId="77777777" w:rsidTr="002A5CF5">
        <w:trPr>
          <w:trHeight w:val="364"/>
        </w:trPr>
        <w:tc>
          <w:tcPr>
            <w:tcW w:w="1972" w:type="dxa"/>
          </w:tcPr>
          <w:p w14:paraId="3DBE1051"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(2) Hypothesized Model for Turkey</w:t>
            </w:r>
          </w:p>
          <w:p w14:paraId="3F84B9A2" w14:textId="77777777" w:rsidR="00E34075" w:rsidRPr="007F78BA" w:rsidRDefault="00E34075" w:rsidP="002A5CF5">
            <w:pPr>
              <w:rPr>
                <w:rFonts w:ascii="Baskerville Old Face" w:hAnsi="Baskerville Old Face" w:cs="Times New Roman"/>
                <w:sz w:val="20"/>
                <w:szCs w:val="20"/>
                <w:lang w:val="en-GB"/>
              </w:rPr>
            </w:pPr>
          </w:p>
        </w:tc>
        <w:tc>
          <w:tcPr>
            <w:tcW w:w="658" w:type="dxa"/>
          </w:tcPr>
          <w:p w14:paraId="61D25D42"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lastRenderedPageBreak/>
              <w:t>550</w:t>
            </w:r>
          </w:p>
        </w:tc>
        <w:tc>
          <w:tcPr>
            <w:tcW w:w="989" w:type="dxa"/>
          </w:tcPr>
          <w:p w14:paraId="5E508BE9"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184.932 (93)</w:t>
            </w:r>
          </w:p>
        </w:tc>
        <w:tc>
          <w:tcPr>
            <w:tcW w:w="659" w:type="dxa"/>
          </w:tcPr>
          <w:p w14:paraId="531448CD"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0.953</w:t>
            </w:r>
          </w:p>
        </w:tc>
        <w:tc>
          <w:tcPr>
            <w:tcW w:w="881" w:type="dxa"/>
          </w:tcPr>
          <w:p w14:paraId="4C39D489"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0.940</w:t>
            </w:r>
          </w:p>
        </w:tc>
        <w:tc>
          <w:tcPr>
            <w:tcW w:w="1481" w:type="dxa"/>
          </w:tcPr>
          <w:p w14:paraId="619B7378"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0.042 (0.033-0.051)</w:t>
            </w:r>
          </w:p>
        </w:tc>
        <w:tc>
          <w:tcPr>
            <w:tcW w:w="659" w:type="dxa"/>
          </w:tcPr>
          <w:p w14:paraId="23A9AB6C"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w:t>
            </w:r>
          </w:p>
        </w:tc>
        <w:tc>
          <w:tcPr>
            <w:tcW w:w="506" w:type="dxa"/>
          </w:tcPr>
          <w:p w14:paraId="3F220622"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w:t>
            </w:r>
          </w:p>
        </w:tc>
        <w:tc>
          <w:tcPr>
            <w:tcW w:w="787" w:type="dxa"/>
          </w:tcPr>
          <w:p w14:paraId="17520D29"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w:t>
            </w:r>
          </w:p>
        </w:tc>
      </w:tr>
      <w:tr w:rsidR="00E34075" w:rsidRPr="007F78BA" w14:paraId="45556926" w14:textId="77777777" w:rsidTr="002A5CF5">
        <w:trPr>
          <w:trHeight w:val="364"/>
        </w:trPr>
        <w:tc>
          <w:tcPr>
            <w:tcW w:w="1972" w:type="dxa"/>
          </w:tcPr>
          <w:p w14:paraId="56C5F01E"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(3) Multigroup Hypothesized Model</w:t>
            </w:r>
          </w:p>
          <w:p w14:paraId="0299910F" w14:textId="77777777" w:rsidR="00E34075" w:rsidRPr="007F78BA" w:rsidRDefault="00E34075" w:rsidP="002A5CF5">
            <w:pPr>
              <w:rPr>
                <w:rFonts w:ascii="Baskerville Old Face" w:hAnsi="Baskerville Old Face" w:cs="Times New Roman"/>
                <w:sz w:val="20"/>
                <w:szCs w:val="20"/>
                <w:lang w:val="en-GB"/>
              </w:rPr>
            </w:pPr>
          </w:p>
        </w:tc>
        <w:tc>
          <w:tcPr>
            <w:tcW w:w="658" w:type="dxa"/>
          </w:tcPr>
          <w:p w14:paraId="585E9DFA"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3,986</w:t>
            </w:r>
          </w:p>
        </w:tc>
        <w:tc>
          <w:tcPr>
            <w:tcW w:w="989" w:type="dxa"/>
          </w:tcPr>
          <w:p w14:paraId="40DF5C22"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740.550 (186)</w:t>
            </w:r>
          </w:p>
        </w:tc>
        <w:tc>
          <w:tcPr>
            <w:tcW w:w="659" w:type="dxa"/>
          </w:tcPr>
          <w:p w14:paraId="53DE6CCD"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0.972</w:t>
            </w:r>
          </w:p>
        </w:tc>
        <w:tc>
          <w:tcPr>
            <w:tcW w:w="881" w:type="dxa"/>
          </w:tcPr>
          <w:p w14:paraId="1700D642"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0.964</w:t>
            </w:r>
          </w:p>
        </w:tc>
        <w:tc>
          <w:tcPr>
            <w:tcW w:w="1481" w:type="dxa"/>
          </w:tcPr>
          <w:p w14:paraId="16285707"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0.039 (0.036-0.042)</w:t>
            </w:r>
          </w:p>
        </w:tc>
        <w:tc>
          <w:tcPr>
            <w:tcW w:w="659" w:type="dxa"/>
          </w:tcPr>
          <w:p w14:paraId="249F7219"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w:t>
            </w:r>
          </w:p>
        </w:tc>
        <w:tc>
          <w:tcPr>
            <w:tcW w:w="506" w:type="dxa"/>
          </w:tcPr>
          <w:p w14:paraId="13E8F8A9"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w:t>
            </w:r>
          </w:p>
        </w:tc>
        <w:tc>
          <w:tcPr>
            <w:tcW w:w="787" w:type="dxa"/>
          </w:tcPr>
          <w:p w14:paraId="6B981B1F"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w:t>
            </w:r>
          </w:p>
        </w:tc>
      </w:tr>
      <w:tr w:rsidR="00E34075" w:rsidRPr="007F78BA" w14:paraId="3085F62C" w14:textId="77777777" w:rsidTr="002A5CF5">
        <w:trPr>
          <w:trHeight w:val="340"/>
        </w:trPr>
        <w:tc>
          <w:tcPr>
            <w:tcW w:w="1972" w:type="dxa"/>
            <w:tcBorders>
              <w:bottom w:val="single" w:sz="4" w:space="0" w:color="auto"/>
            </w:tcBorders>
          </w:tcPr>
          <w:p w14:paraId="78AFBE6D"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(4) Multigroup Free versus Constrained</w:t>
            </w:r>
            <w:r w:rsidRPr="007F78BA">
              <w:rPr>
                <w:rFonts w:ascii="Baskerville Old Face" w:hAnsi="Baskerville Old Face" w:cs="Times New Roman"/>
                <w:sz w:val="20"/>
                <w:szCs w:val="20"/>
                <w:vertAlign w:val="superscript"/>
                <w:lang w:val="en-GB"/>
              </w:rPr>
              <w:t xml:space="preserve"> a</w:t>
            </w:r>
            <w:r w:rsidRPr="007F78BA">
              <w:rPr>
                <w:rFonts w:ascii="Baskerville Old Face" w:hAnsi="Baskerville Old Face" w:cs="Times New Roman"/>
                <w:sz w:val="20"/>
                <w:szCs w:val="20"/>
                <w:lang w:val="en-GB"/>
              </w:rPr>
              <w:t xml:space="preserve">  </w:t>
            </w:r>
          </w:p>
        </w:tc>
        <w:tc>
          <w:tcPr>
            <w:tcW w:w="658" w:type="dxa"/>
            <w:tcBorders>
              <w:bottom w:val="single" w:sz="4" w:space="0" w:color="auto"/>
            </w:tcBorders>
          </w:tcPr>
          <w:p w14:paraId="092963D2"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w:t>
            </w:r>
          </w:p>
        </w:tc>
        <w:tc>
          <w:tcPr>
            <w:tcW w:w="989" w:type="dxa"/>
            <w:tcBorders>
              <w:bottom w:val="single" w:sz="4" w:space="0" w:color="auto"/>
            </w:tcBorders>
          </w:tcPr>
          <w:p w14:paraId="13E72B76"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w:t>
            </w:r>
          </w:p>
        </w:tc>
        <w:tc>
          <w:tcPr>
            <w:tcW w:w="659" w:type="dxa"/>
            <w:tcBorders>
              <w:bottom w:val="single" w:sz="4" w:space="0" w:color="auto"/>
            </w:tcBorders>
          </w:tcPr>
          <w:p w14:paraId="267AFBE0"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w:t>
            </w:r>
          </w:p>
        </w:tc>
        <w:tc>
          <w:tcPr>
            <w:tcW w:w="881" w:type="dxa"/>
            <w:tcBorders>
              <w:bottom w:val="single" w:sz="4" w:space="0" w:color="auto"/>
            </w:tcBorders>
          </w:tcPr>
          <w:p w14:paraId="571D8815"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w:t>
            </w:r>
          </w:p>
        </w:tc>
        <w:tc>
          <w:tcPr>
            <w:tcW w:w="1481" w:type="dxa"/>
            <w:tcBorders>
              <w:bottom w:val="single" w:sz="4" w:space="0" w:color="auto"/>
            </w:tcBorders>
          </w:tcPr>
          <w:p w14:paraId="22FA60F4"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w:t>
            </w:r>
          </w:p>
        </w:tc>
        <w:tc>
          <w:tcPr>
            <w:tcW w:w="659" w:type="dxa"/>
            <w:tcBorders>
              <w:bottom w:val="single" w:sz="4" w:space="0" w:color="auto"/>
            </w:tcBorders>
          </w:tcPr>
          <w:p w14:paraId="7A662384"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1.059</w:t>
            </w:r>
          </w:p>
          <w:p w14:paraId="3B6D659B" w14:textId="77777777" w:rsidR="00E34075" w:rsidRPr="007F78BA" w:rsidRDefault="00E34075" w:rsidP="002A5CF5">
            <w:pPr>
              <w:rPr>
                <w:rFonts w:ascii="Baskerville Old Face" w:hAnsi="Baskerville Old Face" w:cs="Times New Roman"/>
                <w:sz w:val="20"/>
                <w:szCs w:val="20"/>
                <w:lang w:val="en-GB"/>
              </w:rPr>
            </w:pPr>
          </w:p>
        </w:tc>
        <w:tc>
          <w:tcPr>
            <w:tcW w:w="506" w:type="dxa"/>
            <w:tcBorders>
              <w:bottom w:val="single" w:sz="4" w:space="0" w:color="auto"/>
            </w:tcBorders>
          </w:tcPr>
          <w:p w14:paraId="6EDFBF73"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1</w:t>
            </w:r>
          </w:p>
        </w:tc>
        <w:tc>
          <w:tcPr>
            <w:tcW w:w="787" w:type="dxa"/>
            <w:tcBorders>
              <w:bottom w:val="single" w:sz="4" w:space="0" w:color="auto"/>
            </w:tcBorders>
          </w:tcPr>
          <w:p w14:paraId="18C09E4F" w14:textId="77777777" w:rsidR="00E34075" w:rsidRPr="007F78BA" w:rsidRDefault="00E34075" w:rsidP="002A5CF5">
            <w:pPr>
              <w:rPr>
                <w:rFonts w:ascii="Baskerville Old Face" w:hAnsi="Baskerville Old Face" w:cs="Times New Roman"/>
                <w:sz w:val="20"/>
                <w:szCs w:val="20"/>
                <w:lang w:val="en-GB"/>
              </w:rPr>
            </w:pPr>
            <w:r w:rsidRPr="007F78BA">
              <w:rPr>
                <w:rFonts w:ascii="Baskerville Old Face" w:hAnsi="Baskerville Old Face" w:cs="Times New Roman"/>
                <w:sz w:val="20"/>
                <w:szCs w:val="20"/>
                <w:lang w:val="en-GB"/>
              </w:rPr>
              <w:t>0.3034</w:t>
            </w:r>
          </w:p>
        </w:tc>
      </w:tr>
    </w:tbl>
    <w:p w14:paraId="1E41B5AD" w14:textId="77777777" w:rsidR="00E34075" w:rsidRPr="007F78BA" w:rsidRDefault="00E34075" w:rsidP="00E34075">
      <w:pPr>
        <w:rPr>
          <w:rFonts w:ascii="Baskerville Old Face" w:hAnsi="Baskerville Old Face" w:cs="Times New Roman"/>
          <w:sz w:val="20"/>
          <w:szCs w:val="20"/>
          <w:lang w:val="en-GB"/>
        </w:rPr>
      </w:pPr>
      <w:r w:rsidRPr="007F78BA">
        <w:rPr>
          <w:rFonts w:ascii="Times New Roman" w:hAnsi="Times New Roman" w:cs="Times New Roman"/>
          <w:vertAlign w:val="superscript"/>
          <w:lang w:val="en-GB"/>
        </w:rPr>
        <w:t>a</w:t>
      </w:r>
      <w:r w:rsidRPr="007F78BA">
        <w:rPr>
          <w:rFonts w:ascii="Times New Roman" w:hAnsi="Times New Roman" w:cs="Times New Roman"/>
          <w:lang w:val="en-GB"/>
        </w:rPr>
        <w:t xml:space="preserve"> </w:t>
      </w:r>
      <w:r w:rsidRPr="007F78BA">
        <w:rPr>
          <w:rFonts w:ascii="Times New Roman" w:hAnsi="Times New Roman" w:cs="Times New Roman"/>
          <w:bCs/>
          <w:sz w:val="20"/>
          <w:szCs w:val="20"/>
          <w:lang w:val="en-GB"/>
        </w:rPr>
        <w:t>Model 3 constrained on the paths and intercepts.</w:t>
      </w:r>
      <w:r w:rsidRPr="007F78BA">
        <w:rPr>
          <w:rFonts w:ascii="Baskerville Old Face" w:hAnsi="Baskerville Old Face" w:cs="Times New Roman"/>
          <w:sz w:val="20"/>
          <w:szCs w:val="20"/>
          <w:lang w:val="en-GB"/>
        </w:rPr>
        <w:t xml:space="preserve"> </w:t>
      </w:r>
    </w:p>
    <w:p w14:paraId="59E37075" w14:textId="77777777" w:rsidR="00E34075" w:rsidRPr="007F78BA" w:rsidRDefault="00E34075" w:rsidP="00E34075">
      <w:pPr>
        <w:tabs>
          <w:tab w:val="left" w:pos="3324"/>
        </w:tabs>
        <w:jc w:val="both"/>
        <w:rPr>
          <w:rFonts w:ascii="Times New Roman" w:hAnsi="Times New Roman" w:cs="Times New Roman"/>
          <w:bCs/>
          <w:sz w:val="20"/>
          <w:szCs w:val="20"/>
          <w:lang w:val="en-GB"/>
        </w:rPr>
      </w:pPr>
      <w:r w:rsidRPr="007F78BA">
        <w:rPr>
          <w:rFonts w:ascii="Times New Roman" w:hAnsi="Times New Roman" w:cs="Times New Roman"/>
          <w:b/>
          <w:bCs/>
          <w:sz w:val="20"/>
          <w:szCs w:val="20"/>
          <w:lang w:val="en-GB"/>
        </w:rPr>
        <w:t xml:space="preserve">CFI, </w:t>
      </w:r>
      <w:r w:rsidRPr="007F78BA">
        <w:rPr>
          <w:rFonts w:ascii="Times New Roman" w:hAnsi="Times New Roman" w:cs="Times New Roman"/>
          <w:bCs/>
          <w:sz w:val="20"/>
          <w:szCs w:val="20"/>
          <w:lang w:val="en-GB"/>
        </w:rPr>
        <w:t xml:space="preserve">Comparative Fit Index. </w:t>
      </w:r>
      <w:r w:rsidRPr="007F78BA">
        <w:rPr>
          <w:rFonts w:ascii="Times New Roman" w:hAnsi="Times New Roman" w:cs="Times New Roman"/>
          <w:b/>
          <w:bCs/>
          <w:sz w:val="20"/>
          <w:szCs w:val="20"/>
          <w:lang w:val="en-GB"/>
        </w:rPr>
        <w:t xml:space="preserve">TLI, </w:t>
      </w:r>
      <w:r w:rsidRPr="007F78BA">
        <w:rPr>
          <w:rFonts w:ascii="Times New Roman" w:hAnsi="Times New Roman" w:cs="Times New Roman"/>
          <w:bCs/>
          <w:sz w:val="20"/>
          <w:szCs w:val="20"/>
          <w:lang w:val="en-GB"/>
        </w:rPr>
        <w:t xml:space="preserve">Tucker-Lewis Index. </w:t>
      </w:r>
      <w:r w:rsidRPr="007F78BA">
        <w:rPr>
          <w:rFonts w:ascii="Times New Roman" w:hAnsi="Times New Roman" w:cs="Times New Roman"/>
          <w:b/>
          <w:bCs/>
          <w:sz w:val="20"/>
          <w:szCs w:val="20"/>
          <w:lang w:val="en-GB"/>
        </w:rPr>
        <w:t xml:space="preserve">RMSEA, </w:t>
      </w:r>
      <w:r w:rsidRPr="007F78BA">
        <w:rPr>
          <w:rFonts w:ascii="Times New Roman" w:hAnsi="Times New Roman" w:cs="Times New Roman"/>
          <w:bCs/>
          <w:sz w:val="20"/>
          <w:szCs w:val="20"/>
          <w:lang w:val="en-GB"/>
        </w:rPr>
        <w:t xml:space="preserve">Root Mean Square Error of Approximation. </w:t>
      </w:r>
      <w:r w:rsidRPr="007F78BA">
        <w:rPr>
          <w:rFonts w:ascii="Times New Roman" w:hAnsi="Times New Roman" w:cs="Times New Roman"/>
          <w:b/>
          <w:bCs/>
          <w:sz w:val="20"/>
          <w:szCs w:val="20"/>
          <w:lang w:val="en-GB"/>
        </w:rPr>
        <w:t xml:space="preserve">SRMR, </w:t>
      </w:r>
      <w:r w:rsidRPr="007F78BA">
        <w:rPr>
          <w:rFonts w:ascii="Times New Roman" w:hAnsi="Times New Roman" w:cs="Times New Roman"/>
          <w:bCs/>
          <w:sz w:val="20"/>
          <w:szCs w:val="20"/>
          <w:lang w:val="en-GB"/>
        </w:rPr>
        <w:t xml:space="preserve">Standardized Root Mean Square Residual. </w:t>
      </w:r>
    </w:p>
    <w:p w14:paraId="055E24B4" w14:textId="77777777" w:rsidR="00E34075" w:rsidRPr="007F78BA" w:rsidRDefault="00E34075" w:rsidP="00E34075">
      <w:pPr>
        <w:rPr>
          <w:rFonts w:ascii="Baskerville Old Face" w:hAnsi="Baskerville Old Face" w:cs="Times New Roman"/>
          <w:sz w:val="20"/>
          <w:szCs w:val="20"/>
          <w:lang w:val="en-GB"/>
        </w:rPr>
      </w:pPr>
    </w:p>
    <w:p w14:paraId="300EAD97" w14:textId="79F7BAC0" w:rsidR="001077E7" w:rsidRDefault="001077E7" w:rsidP="00BF2F3B">
      <w:pPr>
        <w:rPr>
          <w:lang w:val="en-GB"/>
        </w:rPr>
      </w:pPr>
    </w:p>
    <w:p w14:paraId="2FC4484B" w14:textId="1816387F" w:rsidR="00C56A3A" w:rsidRDefault="00C56A3A" w:rsidP="00BF2F3B">
      <w:pPr>
        <w:rPr>
          <w:lang w:val="en-GB"/>
        </w:rPr>
      </w:pPr>
    </w:p>
    <w:p w14:paraId="27820C0C" w14:textId="4314ECC5" w:rsidR="00C56A3A" w:rsidRDefault="00C56A3A" w:rsidP="00BF2F3B">
      <w:pPr>
        <w:rPr>
          <w:lang w:val="en-GB"/>
        </w:rPr>
      </w:pPr>
    </w:p>
    <w:p w14:paraId="14CC1530" w14:textId="7455A12F" w:rsidR="00C56A3A" w:rsidRDefault="00C56A3A" w:rsidP="00BF2F3B">
      <w:pPr>
        <w:rPr>
          <w:lang w:val="en-GB"/>
        </w:rPr>
      </w:pPr>
    </w:p>
    <w:p w14:paraId="1415849C" w14:textId="188D03F4" w:rsidR="00C56A3A" w:rsidRDefault="00C56A3A" w:rsidP="00BF2F3B">
      <w:pPr>
        <w:rPr>
          <w:lang w:val="en-GB"/>
        </w:rPr>
      </w:pPr>
    </w:p>
    <w:p w14:paraId="74DD72B7" w14:textId="6E86D6D5" w:rsidR="00C56A3A" w:rsidRDefault="00C56A3A" w:rsidP="00BF2F3B">
      <w:pPr>
        <w:rPr>
          <w:lang w:val="en-GB"/>
        </w:rPr>
      </w:pPr>
    </w:p>
    <w:p w14:paraId="45EC8910" w14:textId="1E530301" w:rsidR="00C56A3A" w:rsidRDefault="00C56A3A" w:rsidP="00BF2F3B">
      <w:pPr>
        <w:rPr>
          <w:lang w:val="en-GB"/>
        </w:rPr>
      </w:pPr>
    </w:p>
    <w:p w14:paraId="71A70F2F" w14:textId="30FE6567" w:rsidR="00C56A3A" w:rsidRDefault="00C56A3A" w:rsidP="00BF2F3B">
      <w:pPr>
        <w:rPr>
          <w:lang w:val="en-GB"/>
        </w:rPr>
      </w:pPr>
    </w:p>
    <w:p w14:paraId="2A84E67A" w14:textId="478AA9CA" w:rsidR="00C56A3A" w:rsidRDefault="00C56A3A" w:rsidP="00BF2F3B">
      <w:pPr>
        <w:rPr>
          <w:lang w:val="en-GB"/>
        </w:rPr>
      </w:pPr>
    </w:p>
    <w:p w14:paraId="2DA0918F" w14:textId="03FCF95D" w:rsidR="00C56A3A" w:rsidRDefault="00C56A3A" w:rsidP="00BF2F3B">
      <w:pPr>
        <w:rPr>
          <w:lang w:val="en-GB"/>
        </w:rPr>
      </w:pPr>
    </w:p>
    <w:p w14:paraId="1AF7132B" w14:textId="3F2A03BA" w:rsidR="00C56A3A" w:rsidRDefault="00C56A3A" w:rsidP="00BF2F3B">
      <w:pPr>
        <w:rPr>
          <w:lang w:val="en-GB"/>
        </w:rPr>
      </w:pPr>
    </w:p>
    <w:p w14:paraId="49DDDB6C" w14:textId="5F37AACE" w:rsidR="008A5085" w:rsidRDefault="008A5085" w:rsidP="00BF2F3B">
      <w:pPr>
        <w:rPr>
          <w:lang w:val="en-GB"/>
        </w:rPr>
      </w:pPr>
    </w:p>
    <w:p w14:paraId="75A0823D" w14:textId="29B16376" w:rsidR="008A5085" w:rsidRDefault="008A5085" w:rsidP="00BF2F3B">
      <w:pPr>
        <w:rPr>
          <w:lang w:val="en-GB"/>
        </w:rPr>
      </w:pPr>
    </w:p>
    <w:p w14:paraId="15415EBE" w14:textId="07DC4D55" w:rsidR="008A5085" w:rsidRDefault="008A5085" w:rsidP="00BF2F3B">
      <w:pPr>
        <w:rPr>
          <w:lang w:val="en-GB"/>
        </w:rPr>
      </w:pPr>
    </w:p>
    <w:p w14:paraId="298F7319" w14:textId="7F3F48EA" w:rsidR="008A5085" w:rsidRDefault="008A5085" w:rsidP="00BF2F3B">
      <w:pPr>
        <w:rPr>
          <w:lang w:val="en-GB"/>
        </w:rPr>
      </w:pPr>
    </w:p>
    <w:p w14:paraId="39DD3A1C" w14:textId="770B1CCF" w:rsidR="008A5085" w:rsidRDefault="008A5085" w:rsidP="00BF2F3B">
      <w:pPr>
        <w:rPr>
          <w:lang w:val="en-GB"/>
        </w:rPr>
      </w:pPr>
    </w:p>
    <w:p w14:paraId="005D2CD6" w14:textId="118DB622" w:rsidR="008A5085" w:rsidRDefault="008A5085" w:rsidP="00BF2F3B">
      <w:pPr>
        <w:rPr>
          <w:lang w:val="en-GB"/>
        </w:rPr>
      </w:pPr>
    </w:p>
    <w:p w14:paraId="0490E629" w14:textId="45DA7064" w:rsidR="008A5085" w:rsidRDefault="008A5085" w:rsidP="00BF2F3B">
      <w:pPr>
        <w:rPr>
          <w:lang w:val="en-GB"/>
        </w:rPr>
      </w:pPr>
    </w:p>
    <w:p w14:paraId="681692E2" w14:textId="450DE35C" w:rsidR="008A5085" w:rsidRDefault="008A5085" w:rsidP="00BF2F3B">
      <w:pPr>
        <w:rPr>
          <w:lang w:val="en-GB"/>
        </w:rPr>
      </w:pPr>
    </w:p>
    <w:p w14:paraId="40D8128B" w14:textId="5A0EEA3B" w:rsidR="008A5085" w:rsidRDefault="00AC789C" w:rsidP="00AC789C">
      <w:pPr>
        <w:tabs>
          <w:tab w:val="left" w:pos="1920"/>
        </w:tabs>
        <w:rPr>
          <w:lang w:val="en-GB"/>
        </w:rPr>
      </w:pPr>
      <w:r>
        <w:rPr>
          <w:lang w:val="en-GB"/>
        </w:rPr>
        <w:tab/>
      </w:r>
    </w:p>
    <w:p w14:paraId="093CBBAB" w14:textId="79F8479D" w:rsidR="00AC789C" w:rsidRDefault="00AC789C" w:rsidP="00AC789C">
      <w:pPr>
        <w:tabs>
          <w:tab w:val="left" w:pos="1920"/>
        </w:tabs>
        <w:rPr>
          <w:lang w:val="en-GB"/>
        </w:rPr>
      </w:pPr>
    </w:p>
    <w:p w14:paraId="44E05097" w14:textId="6C8082C0" w:rsidR="00AC789C" w:rsidRDefault="00AC789C" w:rsidP="00AC789C">
      <w:pPr>
        <w:tabs>
          <w:tab w:val="left" w:pos="1920"/>
        </w:tabs>
        <w:rPr>
          <w:lang w:val="en-GB"/>
        </w:rPr>
      </w:pPr>
    </w:p>
    <w:p w14:paraId="1924EE0C" w14:textId="38CD0439" w:rsidR="00AC789C" w:rsidRDefault="00AC789C" w:rsidP="00AC789C">
      <w:pPr>
        <w:tabs>
          <w:tab w:val="left" w:pos="1920"/>
        </w:tabs>
        <w:rPr>
          <w:lang w:val="en-GB"/>
        </w:rPr>
      </w:pPr>
    </w:p>
    <w:p w14:paraId="2C27CB96" w14:textId="0DB9FAE8" w:rsidR="00AC789C" w:rsidRDefault="00AC789C" w:rsidP="00AC789C">
      <w:pPr>
        <w:tabs>
          <w:tab w:val="left" w:pos="1920"/>
        </w:tabs>
        <w:rPr>
          <w:lang w:val="en-GB"/>
        </w:rPr>
      </w:pPr>
    </w:p>
    <w:p w14:paraId="32DB5FB6" w14:textId="24F3A342" w:rsidR="00AC789C" w:rsidRDefault="00AC789C" w:rsidP="00AC789C">
      <w:pPr>
        <w:tabs>
          <w:tab w:val="left" w:pos="1920"/>
        </w:tabs>
        <w:rPr>
          <w:lang w:val="en-GB"/>
        </w:rPr>
      </w:pPr>
    </w:p>
    <w:p w14:paraId="31CAE229" w14:textId="4F5307CD" w:rsidR="00AC789C" w:rsidRDefault="00AC789C" w:rsidP="00AC789C">
      <w:pPr>
        <w:tabs>
          <w:tab w:val="left" w:pos="1920"/>
        </w:tabs>
        <w:rPr>
          <w:lang w:val="en-GB"/>
        </w:rPr>
      </w:pPr>
    </w:p>
    <w:p w14:paraId="3F5F1332" w14:textId="3D704932" w:rsidR="00AC789C" w:rsidRDefault="00AC789C" w:rsidP="00AC789C">
      <w:pPr>
        <w:tabs>
          <w:tab w:val="left" w:pos="1920"/>
        </w:tabs>
        <w:rPr>
          <w:lang w:val="en-GB"/>
        </w:rPr>
      </w:pPr>
    </w:p>
    <w:p w14:paraId="17B4C973" w14:textId="0DA102CB" w:rsidR="00AC789C" w:rsidRDefault="00AC789C" w:rsidP="00AC789C">
      <w:pPr>
        <w:tabs>
          <w:tab w:val="left" w:pos="1920"/>
        </w:tabs>
        <w:rPr>
          <w:lang w:val="en-GB"/>
        </w:rPr>
      </w:pPr>
    </w:p>
    <w:p w14:paraId="74F4DA31" w14:textId="70638FB2" w:rsidR="00AC789C" w:rsidRDefault="00AC789C" w:rsidP="00AC789C">
      <w:pPr>
        <w:tabs>
          <w:tab w:val="left" w:pos="1920"/>
        </w:tabs>
        <w:rPr>
          <w:lang w:val="en-GB"/>
        </w:rPr>
      </w:pPr>
    </w:p>
    <w:p w14:paraId="368C9048" w14:textId="752CCBB5" w:rsidR="00AC789C" w:rsidRDefault="00AC789C" w:rsidP="00AC789C">
      <w:pPr>
        <w:tabs>
          <w:tab w:val="left" w:pos="1920"/>
        </w:tabs>
        <w:rPr>
          <w:lang w:val="en-GB"/>
        </w:rPr>
      </w:pPr>
    </w:p>
    <w:p w14:paraId="528FDC42" w14:textId="77777777" w:rsidR="00D16D9E" w:rsidRDefault="00D16D9E" w:rsidP="00AC789C">
      <w:pPr>
        <w:tabs>
          <w:tab w:val="left" w:pos="1920"/>
        </w:tabs>
        <w:rPr>
          <w:lang w:val="en-GB"/>
        </w:rPr>
      </w:pPr>
    </w:p>
    <w:p w14:paraId="7FB3CECA" w14:textId="30110AA7" w:rsidR="00AC789C" w:rsidRDefault="00AC789C" w:rsidP="00AC789C">
      <w:pPr>
        <w:tabs>
          <w:tab w:val="left" w:pos="1920"/>
        </w:tabs>
        <w:rPr>
          <w:lang w:val="en-GB"/>
        </w:rPr>
      </w:pPr>
    </w:p>
    <w:p w14:paraId="18D27878" w14:textId="5D64583A" w:rsidR="00AC789C" w:rsidRDefault="00AC789C" w:rsidP="00AC789C">
      <w:pPr>
        <w:tabs>
          <w:tab w:val="left" w:pos="1920"/>
        </w:tabs>
        <w:rPr>
          <w:lang w:val="en-GB"/>
        </w:rPr>
      </w:pPr>
    </w:p>
    <w:p w14:paraId="5FC26D89" w14:textId="77777777" w:rsidR="00AC789C" w:rsidRDefault="00AC789C" w:rsidP="00AC789C">
      <w:pPr>
        <w:tabs>
          <w:tab w:val="left" w:pos="1920"/>
        </w:tabs>
        <w:rPr>
          <w:lang w:val="en-GB"/>
        </w:rPr>
      </w:pPr>
    </w:p>
    <w:p w14:paraId="3DF8DD4E" w14:textId="0F4ED966" w:rsidR="00C56A3A" w:rsidRDefault="00C56A3A" w:rsidP="00BF2F3B">
      <w:pPr>
        <w:rPr>
          <w:lang w:val="en-GB"/>
        </w:rPr>
      </w:pPr>
    </w:p>
    <w:p w14:paraId="1859AEDF" w14:textId="77777777" w:rsidR="00C56A3A" w:rsidRPr="007F78BA" w:rsidRDefault="00C56A3A" w:rsidP="00BF2F3B">
      <w:pPr>
        <w:rPr>
          <w:lang w:val="en-GB"/>
        </w:rPr>
      </w:pPr>
    </w:p>
    <w:p w14:paraId="17D847A5" w14:textId="5B6CFF3D" w:rsidR="001077E7" w:rsidRDefault="001077E7" w:rsidP="0092027D">
      <w:pPr>
        <w:pStyle w:val="Overskrift1"/>
        <w:spacing w:line="276" w:lineRule="auto"/>
        <w:rPr>
          <w:lang w:val="en-GB"/>
        </w:rPr>
      </w:pPr>
      <w:r w:rsidRPr="007F78BA">
        <w:rPr>
          <w:lang w:val="en-GB"/>
        </w:rPr>
        <w:lastRenderedPageBreak/>
        <w:t>Reference</w:t>
      </w:r>
      <w:r w:rsidR="00B141C4">
        <w:rPr>
          <w:lang w:val="en-GB"/>
        </w:rPr>
        <w:t>s</w:t>
      </w:r>
    </w:p>
    <w:p w14:paraId="1CF411CF" w14:textId="77777777" w:rsidR="006C7BCD" w:rsidRPr="006C7BCD" w:rsidRDefault="001F44C3" w:rsidP="00AC789C">
      <w:pPr>
        <w:pStyle w:val="Bibliografi"/>
        <w:spacing w:line="276" w:lineRule="auto"/>
      </w:pPr>
      <w:r>
        <w:rPr>
          <w:rFonts w:ascii="Calibri"/>
        </w:rPr>
        <w:fldChar w:fldCharType="begin"/>
      </w:r>
      <w:r w:rsidR="006C7BCD">
        <w:rPr>
          <w:rFonts w:ascii="Calibri"/>
        </w:rPr>
        <w:instrText xml:space="preserve"> ADDIN ZOTERO_BIBL {"uncited":[],"omitted":[],"custom":[]} CSL_BIBLIOGRAPHY </w:instrText>
      </w:r>
      <w:r>
        <w:rPr>
          <w:rFonts w:ascii="Calibri"/>
        </w:rPr>
        <w:fldChar w:fldCharType="separate"/>
      </w:r>
      <w:r w:rsidR="006C7BCD" w:rsidRPr="006C7BCD">
        <w:t xml:space="preserve">Andrinopoulos, K., Hembling, J., Guardado, M. E., de Maria Hernández, F., Nieto, A. I., &amp; Melendez, G. (2015). Evidence of the Negative Effect of Sexual Minority Stigma on HIV Testing Among MSM and Transgender Women in San Salvador, El Salvador. </w:t>
      </w:r>
      <w:r w:rsidR="006C7BCD" w:rsidRPr="006C7BCD">
        <w:rPr>
          <w:i/>
          <w:iCs/>
        </w:rPr>
        <w:t>AIDS and Behavior</w:t>
      </w:r>
      <w:r w:rsidR="006C7BCD" w:rsidRPr="006C7BCD">
        <w:t xml:space="preserve">, </w:t>
      </w:r>
      <w:r w:rsidR="006C7BCD" w:rsidRPr="006C7BCD">
        <w:rPr>
          <w:i/>
          <w:iCs/>
        </w:rPr>
        <w:t>19</w:t>
      </w:r>
      <w:r w:rsidR="006C7BCD" w:rsidRPr="006C7BCD">
        <w:t>(1), 60–71. https://doi.org/10.1007/s10461-014-0813-0</w:t>
      </w:r>
    </w:p>
    <w:p w14:paraId="5A5C0631" w14:textId="77777777" w:rsidR="006C7BCD" w:rsidRPr="006C7BCD" w:rsidRDefault="006C7BCD" w:rsidP="00AC789C">
      <w:pPr>
        <w:pStyle w:val="Bibliografi"/>
        <w:spacing w:line="276" w:lineRule="auto"/>
      </w:pPr>
      <w:r w:rsidRPr="006C7BCD">
        <w:t xml:space="preserve">Baral, S., Logie, C. H., Grosso, A., Wirtz, A. L., &amp; Beyrer, C. (2013). Modified social ecological model: A tool to guide the assessment of the risks and risk contexts of HIV epidemics. </w:t>
      </w:r>
      <w:r w:rsidRPr="006C7BCD">
        <w:rPr>
          <w:i/>
          <w:iCs/>
        </w:rPr>
        <w:t>BMC Public Health</w:t>
      </w:r>
      <w:r w:rsidRPr="006C7BCD">
        <w:t xml:space="preserve">, </w:t>
      </w:r>
      <w:r w:rsidRPr="006C7BCD">
        <w:rPr>
          <w:i/>
          <w:iCs/>
        </w:rPr>
        <w:t>13</w:t>
      </w:r>
      <w:r w:rsidRPr="006C7BCD">
        <w:t>(1). https://doi.org/10.1186/1471-2458-13-482</w:t>
      </w:r>
    </w:p>
    <w:p w14:paraId="17667765" w14:textId="77777777" w:rsidR="006C7BCD" w:rsidRPr="006C7BCD" w:rsidRDefault="006C7BCD" w:rsidP="00AC789C">
      <w:pPr>
        <w:pStyle w:val="Bibliografi"/>
        <w:spacing w:line="276" w:lineRule="auto"/>
      </w:pPr>
      <w:r w:rsidRPr="006C7BCD">
        <w:t xml:space="preserve">Berg, R. C., Lemke, R., &amp; Ross, M. W. (2017). Sociopolitical and Cultural Correlates of Internalized Homonegativity in Gay and Bisexual Men: Findings from a Global Study. </w:t>
      </w:r>
      <w:r w:rsidRPr="006C7BCD">
        <w:rPr>
          <w:i/>
          <w:iCs/>
        </w:rPr>
        <w:t>International Journal of Sexual Health</w:t>
      </w:r>
      <w:r w:rsidRPr="006C7BCD">
        <w:t xml:space="preserve">, </w:t>
      </w:r>
      <w:r w:rsidRPr="006C7BCD">
        <w:rPr>
          <w:i/>
          <w:iCs/>
        </w:rPr>
        <w:t>29</w:t>
      </w:r>
      <w:r w:rsidRPr="006C7BCD">
        <w:t>(1), 97–111. https://doi.org/10.1080/19317611.2016.1247125</w:t>
      </w:r>
    </w:p>
    <w:p w14:paraId="50FF1F41" w14:textId="77777777" w:rsidR="006C7BCD" w:rsidRPr="006C7BCD" w:rsidRDefault="006C7BCD" w:rsidP="00AC789C">
      <w:pPr>
        <w:pStyle w:val="Bibliografi"/>
        <w:spacing w:line="276" w:lineRule="auto"/>
      </w:pPr>
      <w:r w:rsidRPr="006C7BCD">
        <w:t xml:space="preserve">Berg, R. C., Ross, M. W., Weatherburn, P., &amp; Schmidt, A. J. (2013). Structural and environmental factors are associated with internalised homonegativity in men who have sex with men: Findings from the European MSM Internet Survey (EMIS) in 38 countries. </w:t>
      </w:r>
      <w:r w:rsidRPr="006C7BCD">
        <w:rPr>
          <w:i/>
          <w:iCs/>
        </w:rPr>
        <w:t>Social Science &amp; Medicine</w:t>
      </w:r>
      <w:r w:rsidRPr="006C7BCD">
        <w:t xml:space="preserve">, </w:t>
      </w:r>
      <w:r w:rsidRPr="006C7BCD">
        <w:rPr>
          <w:i/>
          <w:iCs/>
        </w:rPr>
        <w:t>78</w:t>
      </w:r>
      <w:r w:rsidRPr="006C7BCD">
        <w:t>, 61–69. https://doi.org/10.1016/j.socscimed.2012.11.033</w:t>
      </w:r>
    </w:p>
    <w:p w14:paraId="665ED7FA" w14:textId="77777777" w:rsidR="006C7BCD" w:rsidRPr="006C7BCD" w:rsidRDefault="006C7BCD" w:rsidP="00AC789C">
      <w:pPr>
        <w:pStyle w:val="Bibliografi"/>
        <w:spacing w:line="276" w:lineRule="auto"/>
      </w:pPr>
      <w:r w:rsidRPr="006C7BCD">
        <w:t xml:space="preserve">Byrne, B. M. (2016). </w:t>
      </w:r>
      <w:r w:rsidRPr="006C7BCD">
        <w:rPr>
          <w:i/>
          <w:iCs/>
        </w:rPr>
        <w:t>Structural equation modeling with AMOS: basic concepts, applications, and programming</w:t>
      </w:r>
      <w:r w:rsidRPr="006C7BCD">
        <w:t xml:space="preserve"> (Third Edition (3rd ed.)). Routledge.</w:t>
      </w:r>
    </w:p>
    <w:p w14:paraId="5F908A14" w14:textId="77777777" w:rsidR="006C7BCD" w:rsidRPr="006C7BCD" w:rsidRDefault="006C7BCD" w:rsidP="00AC789C">
      <w:pPr>
        <w:pStyle w:val="Bibliografi"/>
        <w:spacing w:line="276" w:lineRule="auto"/>
      </w:pPr>
      <w:r w:rsidRPr="006C7BCD">
        <w:t xml:space="preserve">Carpiano, R. M., Kelly, B. C., Easterbrook, A., &amp; Parsons, J. T. (2011). Community and Drug Use among Gay Men: The Role of Neighborhoods and Networks. </w:t>
      </w:r>
      <w:r w:rsidRPr="006C7BCD">
        <w:rPr>
          <w:i/>
          <w:iCs/>
        </w:rPr>
        <w:t>Journal of Health and Social Behavior</w:t>
      </w:r>
      <w:r w:rsidRPr="006C7BCD">
        <w:t xml:space="preserve">, </w:t>
      </w:r>
      <w:r w:rsidRPr="006C7BCD">
        <w:rPr>
          <w:i/>
          <w:iCs/>
        </w:rPr>
        <w:t>52</w:t>
      </w:r>
      <w:r w:rsidRPr="006C7BCD">
        <w:t>(1), 74–90. https://doi.org/10.1177/0022146510395026</w:t>
      </w:r>
    </w:p>
    <w:p w14:paraId="470E0F8F" w14:textId="77777777" w:rsidR="006C7BCD" w:rsidRPr="006C7BCD" w:rsidRDefault="006C7BCD" w:rsidP="00AC789C">
      <w:pPr>
        <w:pStyle w:val="Bibliografi"/>
        <w:spacing w:line="276" w:lineRule="auto"/>
      </w:pPr>
      <w:r w:rsidRPr="006C7BCD">
        <w:t xml:space="preserve">Centro Nacional de Epidemiología. (2018). </w:t>
      </w:r>
      <w:r w:rsidRPr="006C7BCD">
        <w:rPr>
          <w:i/>
          <w:iCs/>
        </w:rPr>
        <w:t>Plan Nacional sobre el Sida, 2017</w:t>
      </w:r>
      <w:r w:rsidRPr="006C7BCD">
        <w:t xml:space="preserve"> (Vigilancia Epidemiológica Del VIH y Sida En España. Sistema de Información Sobre Nuevos Diagnósticos de VIH y Registro Nacional de Casos de Sida). https://www.mscbs.gob.es/ciudadanos/enfLesiones/enfTransmisibles/sida/vigilancia/doc/InformeVIH_SIDA_2018_21112018.pdf</w:t>
      </w:r>
    </w:p>
    <w:p w14:paraId="0177C92E" w14:textId="77777777" w:rsidR="006C7BCD" w:rsidRPr="006C7BCD" w:rsidRDefault="006C7BCD" w:rsidP="00AC789C">
      <w:pPr>
        <w:pStyle w:val="Bibliografi"/>
        <w:spacing w:line="276" w:lineRule="auto"/>
      </w:pPr>
      <w:r w:rsidRPr="006C7BCD">
        <w:t xml:space="preserve">Chen, F. F. (2007). Sensitivity of Goodness of Fit Indexes to Lack of Measurement Invariance. </w:t>
      </w:r>
      <w:r w:rsidRPr="006C7BCD">
        <w:rPr>
          <w:i/>
          <w:iCs/>
        </w:rPr>
        <w:t>Structural Equation Modeling: A Multidisciplinary Journal</w:t>
      </w:r>
      <w:r w:rsidRPr="006C7BCD">
        <w:t xml:space="preserve">, </w:t>
      </w:r>
      <w:r w:rsidRPr="006C7BCD">
        <w:rPr>
          <w:i/>
          <w:iCs/>
        </w:rPr>
        <w:t>14</w:t>
      </w:r>
      <w:r w:rsidRPr="006C7BCD">
        <w:t>(3), 464–504. https://doi.org/10.1080/10705510701301834</w:t>
      </w:r>
    </w:p>
    <w:p w14:paraId="6B6D9039" w14:textId="77777777" w:rsidR="006C7BCD" w:rsidRPr="006C7BCD" w:rsidRDefault="006C7BCD" w:rsidP="00AC789C">
      <w:pPr>
        <w:pStyle w:val="Bibliografi"/>
        <w:spacing w:line="276" w:lineRule="auto"/>
      </w:pPr>
      <w:r w:rsidRPr="006C7BCD">
        <w:t xml:space="preserve">Choi, K., Operario, D., Gregorich, S. E., McFarland, W., MacKellar, D., &amp; Valleroy, L. (2005). Substance Use, Substance Choice, and Unprotected Anal Intercourse among Young Asian American and Pacific Islander Men Who Have Sex with Men. </w:t>
      </w:r>
      <w:r w:rsidRPr="006C7BCD">
        <w:rPr>
          <w:i/>
          <w:iCs/>
        </w:rPr>
        <w:t>AIDS Education and Prevention</w:t>
      </w:r>
      <w:r w:rsidRPr="006C7BCD">
        <w:t xml:space="preserve">, </w:t>
      </w:r>
      <w:r w:rsidRPr="006C7BCD">
        <w:rPr>
          <w:i/>
          <w:iCs/>
        </w:rPr>
        <w:t>17</w:t>
      </w:r>
      <w:r w:rsidRPr="006C7BCD">
        <w:t>(5), 418–429. https://doi.org/10.1521/aeap.2005.17.5.418</w:t>
      </w:r>
    </w:p>
    <w:p w14:paraId="6542C27B" w14:textId="77777777" w:rsidR="006C7BCD" w:rsidRPr="006C7BCD" w:rsidRDefault="006C7BCD" w:rsidP="00AC789C">
      <w:pPr>
        <w:pStyle w:val="Bibliografi"/>
        <w:spacing w:line="276" w:lineRule="auto"/>
      </w:pPr>
      <w:r w:rsidRPr="006C7BCD">
        <w:t xml:space="preserve">Costa, P. A., Pereira, H., &amp; Leal, I. (2013). Internalized Homonegativity, Disclosure, and Acceptance of Sexual Orientation in a Sample of Portuguese Gay and Bisexual Men, and Lesbian and Bisexual Women. </w:t>
      </w:r>
      <w:r w:rsidRPr="006C7BCD">
        <w:rPr>
          <w:i/>
          <w:iCs/>
        </w:rPr>
        <w:t>Journal of Bisexuality</w:t>
      </w:r>
      <w:r w:rsidRPr="006C7BCD">
        <w:t xml:space="preserve">, </w:t>
      </w:r>
      <w:r w:rsidRPr="006C7BCD">
        <w:rPr>
          <w:i/>
          <w:iCs/>
        </w:rPr>
        <w:t>13</w:t>
      </w:r>
      <w:r w:rsidRPr="006C7BCD">
        <w:t>(2), 229–244. https://doi.org/10.1080/15299716.2013.782481</w:t>
      </w:r>
    </w:p>
    <w:p w14:paraId="4D2BE417" w14:textId="77777777" w:rsidR="006C7BCD" w:rsidRPr="006C7BCD" w:rsidRDefault="006C7BCD" w:rsidP="00AC789C">
      <w:pPr>
        <w:pStyle w:val="Bibliografi"/>
        <w:spacing w:line="276" w:lineRule="auto"/>
      </w:pPr>
      <w:r w:rsidRPr="006C7BCD">
        <w:t xml:space="preserve">Dawson, E. L., Mendoza, M. C. B., Gaul, Z., Jeffries IV, W. L., Sutton, M. Y., &amp; Wilson, P. A. (2019). Resilience, condom use self-efficacy, internalized homophobia, and </w:t>
      </w:r>
      <w:r w:rsidRPr="006C7BCD">
        <w:lastRenderedPageBreak/>
        <w:t xml:space="preserve">condomless anal sex among black men who have sex with men, New York City. </w:t>
      </w:r>
      <w:r w:rsidRPr="006C7BCD">
        <w:rPr>
          <w:i/>
          <w:iCs/>
        </w:rPr>
        <w:t>PLOS ONE</w:t>
      </w:r>
      <w:r w:rsidRPr="006C7BCD">
        <w:t xml:space="preserve">, </w:t>
      </w:r>
      <w:r w:rsidRPr="006C7BCD">
        <w:rPr>
          <w:i/>
          <w:iCs/>
        </w:rPr>
        <w:t>14</w:t>
      </w:r>
      <w:r w:rsidRPr="006C7BCD">
        <w:t>(4), e0215455. https://doi.org/10.1371/journal.pone.0215455</w:t>
      </w:r>
    </w:p>
    <w:p w14:paraId="27DA266A" w14:textId="77777777" w:rsidR="006C7BCD" w:rsidRPr="006C7BCD" w:rsidRDefault="006C7BCD" w:rsidP="00AC789C">
      <w:pPr>
        <w:pStyle w:val="Bibliografi"/>
        <w:spacing w:line="276" w:lineRule="auto"/>
      </w:pPr>
      <w:r w:rsidRPr="006C7BCD">
        <w:t xml:space="preserve">Doran, J., Weatherburn, P., Hickson, F., Marcus, U., Reid, D., &amp; Schmidt, A. J. (2021). An update on the performance of STI services for gay and bisexual men across European cities: Results from the 2017 European MSM Internet Survey. </w:t>
      </w:r>
      <w:r w:rsidRPr="006C7BCD">
        <w:rPr>
          <w:i/>
          <w:iCs/>
        </w:rPr>
        <w:t>Sexually Transmitted Infections</w:t>
      </w:r>
      <w:r w:rsidRPr="006C7BCD">
        <w:t xml:space="preserve">, </w:t>
      </w:r>
      <w:r w:rsidRPr="006C7BCD">
        <w:rPr>
          <w:i/>
          <w:iCs/>
        </w:rPr>
        <w:t>97</w:t>
      </w:r>
      <w:r w:rsidRPr="006C7BCD">
        <w:t>(3), 201–208. https://doi.org/10.1136/sextrans-2020-054681</w:t>
      </w:r>
    </w:p>
    <w:p w14:paraId="77008519" w14:textId="132C1B5B" w:rsidR="006C7BCD" w:rsidRPr="006C7BCD" w:rsidRDefault="006C7BCD" w:rsidP="00AC789C">
      <w:pPr>
        <w:pStyle w:val="Bibliografi"/>
        <w:spacing w:line="276" w:lineRule="auto"/>
      </w:pPr>
      <w:r w:rsidRPr="006C7BCD">
        <w:t xml:space="preserve">Drumright, L. N., Little, S. J., Strathdee, S. A., Slymen, D. J., Araneta, M. R. G., Malcarne, V. L., Daar, E. S., &amp; Gorbach, P. M. (2006). Unprotected Anal Intercourse and Substance Use Among Men Who Have Sex with Men With Recent HIV Infection: </w:t>
      </w:r>
      <w:r w:rsidRPr="006C7BCD">
        <w:rPr>
          <w:i/>
          <w:iCs/>
        </w:rPr>
        <w:t>JAIDS Journal of Acquired Immune Deficiency Syndromes</w:t>
      </w:r>
      <w:r w:rsidRPr="006C7BCD">
        <w:t xml:space="preserve">, </w:t>
      </w:r>
      <w:r w:rsidRPr="006C7BCD">
        <w:rPr>
          <w:i/>
          <w:iCs/>
        </w:rPr>
        <w:t>43</w:t>
      </w:r>
      <w:r w:rsidRPr="006C7BCD">
        <w:t>(3), 344–350. https://doi.org/10.1097/01.qai.0000230530.02212.86</w:t>
      </w:r>
    </w:p>
    <w:p w14:paraId="69FF130E" w14:textId="77777777" w:rsidR="006C7BCD" w:rsidRPr="006C7BCD" w:rsidRDefault="006C7BCD" w:rsidP="00AC789C">
      <w:pPr>
        <w:pStyle w:val="Bibliografi"/>
        <w:spacing w:line="276" w:lineRule="auto"/>
      </w:pPr>
      <w:r w:rsidRPr="006C7BCD">
        <w:t xml:space="preserve">Dudley, M. G., Rostosky, S. S., Korfhage, B. A., &amp; Zimmerman, R. S. (2004). Correlates of High-Risk Sexual Behavior among Young Men Who Have Sex with Men. </w:t>
      </w:r>
      <w:r w:rsidRPr="006C7BCD">
        <w:rPr>
          <w:i/>
          <w:iCs/>
        </w:rPr>
        <w:t>AIDS Education and Prevention</w:t>
      </w:r>
      <w:r w:rsidRPr="006C7BCD">
        <w:t xml:space="preserve">, </w:t>
      </w:r>
      <w:r w:rsidRPr="006C7BCD">
        <w:rPr>
          <w:i/>
          <w:iCs/>
        </w:rPr>
        <w:t>16</w:t>
      </w:r>
      <w:r w:rsidRPr="006C7BCD">
        <w:t>(4), 328–340. https://doi.org/10.1521/aeap.16.4.328.40397</w:t>
      </w:r>
    </w:p>
    <w:p w14:paraId="798AED67" w14:textId="77777777" w:rsidR="006C7BCD" w:rsidRPr="006C7BCD" w:rsidRDefault="006C7BCD" w:rsidP="00AC789C">
      <w:pPr>
        <w:pStyle w:val="Bibliografi"/>
        <w:spacing w:line="276" w:lineRule="auto"/>
      </w:pPr>
      <w:r w:rsidRPr="006C7BCD">
        <w:t xml:space="preserve">Erdinc, F. S., Dokuzoguz, B., Unal, S., Komur, S., Inkaya, A. C., Inan, D., Karaoglan, I., Deveci, A., Celen, M. K., Kose, S., Erben, N., Senturk, G. C., Heper, Y., Kutlu, S. S., Hatipoglu, C. A., Sumer, S., Kandemir, B., Sirmatel, F., Bayindir, Y., … Multicentric HIV Study Group. (2020). Temporal Trends in the Epidemiology of HIV in Turkey. </w:t>
      </w:r>
      <w:r w:rsidRPr="006C7BCD">
        <w:rPr>
          <w:i/>
          <w:iCs/>
        </w:rPr>
        <w:t>Current HIV Research</w:t>
      </w:r>
      <w:r w:rsidRPr="006C7BCD">
        <w:t xml:space="preserve">, </w:t>
      </w:r>
      <w:r w:rsidRPr="006C7BCD">
        <w:rPr>
          <w:i/>
          <w:iCs/>
        </w:rPr>
        <w:t>18</w:t>
      </w:r>
      <w:r w:rsidRPr="006C7BCD">
        <w:t>(4), 258–266. https://doi.org/10.2174/1570162X18666200427223823</w:t>
      </w:r>
    </w:p>
    <w:p w14:paraId="61C28925" w14:textId="77777777" w:rsidR="006C7BCD" w:rsidRPr="006C7BCD" w:rsidRDefault="006C7BCD" w:rsidP="00AC789C">
      <w:pPr>
        <w:pStyle w:val="Bibliografi"/>
        <w:spacing w:line="276" w:lineRule="auto"/>
      </w:pPr>
      <w:r w:rsidRPr="006C7BCD">
        <w:t xml:space="preserve">European Centre for Disease Prevention and Control &amp; World Health Organization. (2020). </w:t>
      </w:r>
      <w:r w:rsidRPr="006C7BCD">
        <w:rPr>
          <w:i/>
          <w:iCs/>
        </w:rPr>
        <w:t>HIV/AIDS surveillance in Europe 2020: 2019 data</w:t>
      </w:r>
      <w:r w:rsidRPr="006C7BCD">
        <w:t>. Publications Office. https://data.europa.eu/doi/10.2900/073965</w:t>
      </w:r>
    </w:p>
    <w:p w14:paraId="7F142CAD" w14:textId="77777777" w:rsidR="006C7BCD" w:rsidRPr="006C7BCD" w:rsidRDefault="006C7BCD" w:rsidP="00AC789C">
      <w:pPr>
        <w:pStyle w:val="Bibliografi"/>
        <w:spacing w:line="276" w:lineRule="auto"/>
      </w:pPr>
      <w:r w:rsidRPr="006C7BCD">
        <w:t xml:space="preserve">Fernández-Dávila, P., &amp; Zaragoza Lorca, K. (2009). Internet y riesgo sexual en hombres que tienen sexo con hombres. </w:t>
      </w:r>
      <w:r w:rsidRPr="006C7BCD">
        <w:rPr>
          <w:i/>
          <w:iCs/>
        </w:rPr>
        <w:t>Gaceta Sanitaria</w:t>
      </w:r>
      <w:r w:rsidRPr="006C7BCD">
        <w:t xml:space="preserve">, </w:t>
      </w:r>
      <w:r w:rsidRPr="006C7BCD">
        <w:rPr>
          <w:i/>
          <w:iCs/>
        </w:rPr>
        <w:t>23</w:t>
      </w:r>
      <w:r w:rsidRPr="006C7BCD">
        <w:t>(5), 380–387. https://doi.org/10.1016/j.gaceta.2008.11.004</w:t>
      </w:r>
    </w:p>
    <w:p w14:paraId="4402D9B1" w14:textId="77777777" w:rsidR="006C7BCD" w:rsidRPr="006C7BCD" w:rsidRDefault="006C7BCD" w:rsidP="00AC789C">
      <w:pPr>
        <w:pStyle w:val="Bibliografi"/>
        <w:spacing w:line="276" w:lineRule="auto"/>
      </w:pPr>
      <w:r w:rsidRPr="006C7BCD">
        <w:t xml:space="preserve">Fingerhut, A. W., Peplau, L. A., &amp; Gable, S. L. (2010). Identity, minority stress and psychological well-being among gay men and lesbians. </w:t>
      </w:r>
      <w:r w:rsidRPr="006C7BCD">
        <w:rPr>
          <w:i/>
          <w:iCs/>
        </w:rPr>
        <w:t>Psychology and Sexuality</w:t>
      </w:r>
      <w:r w:rsidRPr="006C7BCD">
        <w:t xml:space="preserve">, </w:t>
      </w:r>
      <w:r w:rsidRPr="006C7BCD">
        <w:rPr>
          <w:i/>
          <w:iCs/>
        </w:rPr>
        <w:t>1</w:t>
      </w:r>
      <w:r w:rsidRPr="006C7BCD">
        <w:t>(2), 101–114. https://doi.org/10.1080/19419899.2010.484592</w:t>
      </w:r>
    </w:p>
    <w:p w14:paraId="3C66240F" w14:textId="77777777" w:rsidR="006C7BCD" w:rsidRPr="006C7BCD" w:rsidRDefault="006C7BCD" w:rsidP="00AC789C">
      <w:pPr>
        <w:pStyle w:val="Bibliografi"/>
        <w:spacing w:line="276" w:lineRule="auto"/>
      </w:pPr>
      <w:r w:rsidRPr="006C7BCD">
        <w:t xml:space="preserve">Folch, C., Esteve, A., Zaragoza, K., Munoz, R., &amp; Casabona, J. (2010). Correlates of intensive alcohol and drug use in men who have sex with men in Catalonia, Spain. </w:t>
      </w:r>
      <w:r w:rsidRPr="006C7BCD">
        <w:rPr>
          <w:i/>
          <w:iCs/>
        </w:rPr>
        <w:t>The European Journal of Public Health</w:t>
      </w:r>
      <w:r w:rsidRPr="006C7BCD">
        <w:t xml:space="preserve">, </w:t>
      </w:r>
      <w:r w:rsidRPr="006C7BCD">
        <w:rPr>
          <w:i/>
          <w:iCs/>
        </w:rPr>
        <w:t>20</w:t>
      </w:r>
      <w:r w:rsidRPr="006C7BCD">
        <w:t>(2), 139–145. https://doi.org/10.1093/eurpub/ckp091</w:t>
      </w:r>
    </w:p>
    <w:p w14:paraId="3582153D" w14:textId="77777777" w:rsidR="006C7BCD" w:rsidRPr="006C7BCD" w:rsidRDefault="006C7BCD" w:rsidP="00AC789C">
      <w:pPr>
        <w:pStyle w:val="Bibliografi"/>
        <w:spacing w:line="276" w:lineRule="auto"/>
      </w:pPr>
      <w:r w:rsidRPr="006C7BCD">
        <w:t xml:space="preserve">Folch, C., Marks, G., Esteve, A., Zaragoza, K., Muñoz, R., &amp; Casabona, J. (2006). Factors Associated with Unprotected Sexual Intercourse with Steady Male, Casual Male, and Female Partners Among Men Who Have Sex with Men in Barcelona, Spain. </w:t>
      </w:r>
      <w:r w:rsidRPr="006C7BCD">
        <w:rPr>
          <w:i/>
          <w:iCs/>
        </w:rPr>
        <w:t>AIDS Education and Prevention</w:t>
      </w:r>
      <w:r w:rsidRPr="006C7BCD">
        <w:t xml:space="preserve">, </w:t>
      </w:r>
      <w:r w:rsidRPr="006C7BCD">
        <w:rPr>
          <w:i/>
          <w:iCs/>
        </w:rPr>
        <w:t>18</w:t>
      </w:r>
      <w:r w:rsidRPr="006C7BCD">
        <w:t>(3), 227–242. https://doi.org/10.1521/aeap.2006.18.3.227</w:t>
      </w:r>
    </w:p>
    <w:p w14:paraId="5A758B11" w14:textId="77777777" w:rsidR="006C7BCD" w:rsidRPr="006C7BCD" w:rsidRDefault="006C7BCD" w:rsidP="00AC789C">
      <w:pPr>
        <w:pStyle w:val="Bibliografi"/>
        <w:spacing w:line="276" w:lineRule="auto"/>
      </w:pPr>
      <w:r w:rsidRPr="006C7BCD">
        <w:t xml:space="preserve">Folch, C., Muñoz, R., Zaragoza, K., &amp; Casabona, J. (2009). Sexual risk behaviour and its determinants among men who have sex with men in Catalonia, Spain. </w:t>
      </w:r>
      <w:r w:rsidRPr="006C7BCD">
        <w:rPr>
          <w:i/>
          <w:iCs/>
        </w:rPr>
        <w:t>Eurosurveillance</w:t>
      </w:r>
      <w:r w:rsidRPr="006C7BCD">
        <w:t xml:space="preserve">, </w:t>
      </w:r>
      <w:r w:rsidRPr="006C7BCD">
        <w:rPr>
          <w:i/>
          <w:iCs/>
        </w:rPr>
        <w:t>14</w:t>
      </w:r>
      <w:r w:rsidRPr="006C7BCD">
        <w:t>(47). https://doi.org/10.2807/ese.14.47.19415-en</w:t>
      </w:r>
    </w:p>
    <w:p w14:paraId="6A64F712" w14:textId="77777777" w:rsidR="006C7BCD" w:rsidRPr="006C7BCD" w:rsidRDefault="006C7BCD" w:rsidP="00AC789C">
      <w:pPr>
        <w:pStyle w:val="Bibliografi"/>
        <w:spacing w:line="276" w:lineRule="auto"/>
      </w:pPr>
      <w:r w:rsidRPr="006C7BCD">
        <w:lastRenderedPageBreak/>
        <w:t xml:space="preserve">Goldbach, J. T., Schrager, S. M., Dunlap, S. L., &amp; Holloway, I. W. (2015). The Application of Minority Stress Theory to Marijuana Use Among Sexual Minority Adolescents. </w:t>
      </w:r>
      <w:r w:rsidRPr="006C7BCD">
        <w:rPr>
          <w:i/>
          <w:iCs/>
        </w:rPr>
        <w:t>Substance Use &amp; Misuse</w:t>
      </w:r>
      <w:r w:rsidRPr="006C7BCD">
        <w:t xml:space="preserve">, </w:t>
      </w:r>
      <w:r w:rsidRPr="006C7BCD">
        <w:rPr>
          <w:i/>
          <w:iCs/>
        </w:rPr>
        <w:t>50</w:t>
      </w:r>
      <w:r w:rsidRPr="006C7BCD">
        <w:t>(3), 366–375. https://doi.org/10.3109/10826084.2014.980958</w:t>
      </w:r>
    </w:p>
    <w:p w14:paraId="3E675CF5" w14:textId="77777777" w:rsidR="006C7BCD" w:rsidRPr="006C7BCD" w:rsidRDefault="006C7BCD" w:rsidP="00AC789C">
      <w:pPr>
        <w:pStyle w:val="Bibliografi"/>
        <w:spacing w:line="276" w:lineRule="auto"/>
      </w:pPr>
      <w:r w:rsidRPr="006C7BCD">
        <w:t xml:space="preserve">González-Baeza, A., Dolengevich-Segal, H., Pérez-Valero, I., Cabello, A., Téllez, M. J., Sanz, J., Pérez-Latorre, L., Bernardino, J. I., Troya, J., De La Fuente, S., Bisbal, O., Santos, I., Arponen, S., Hontañon, V., Casado, J. L., Ryan, P., &amp; the U-SEX GESIDA 9416 Study. (2018). Sexualized Drug Use (Chemsex) Is Associated with High-Risk Sexual Behaviors and Sexually Transmitted Infections in HIV-Positive Men Who Have Sex with Men: Data from the U-SEX GESIDA 9416 Study. </w:t>
      </w:r>
      <w:r w:rsidRPr="006C7BCD">
        <w:rPr>
          <w:i/>
          <w:iCs/>
        </w:rPr>
        <w:t>AIDS Patient Care and STDs</w:t>
      </w:r>
      <w:r w:rsidRPr="006C7BCD">
        <w:t xml:space="preserve">, </w:t>
      </w:r>
      <w:r w:rsidRPr="006C7BCD">
        <w:rPr>
          <w:i/>
          <w:iCs/>
        </w:rPr>
        <w:t>32</w:t>
      </w:r>
      <w:r w:rsidRPr="006C7BCD">
        <w:t>(3), 112–118. https://doi.org/10.1089/apc.2017.0263</w:t>
      </w:r>
    </w:p>
    <w:p w14:paraId="1E6600AB" w14:textId="77777777" w:rsidR="006C7BCD" w:rsidRPr="006C7BCD" w:rsidRDefault="006C7BCD" w:rsidP="00AC789C">
      <w:pPr>
        <w:pStyle w:val="Bibliografi"/>
        <w:spacing w:line="276" w:lineRule="auto"/>
      </w:pPr>
      <w:r w:rsidRPr="006C7BCD">
        <w:t xml:space="preserve">Heiligenberg, M., Wermeling, P. R., van Rooijen, M. S., Urbanus, A. T., Speksnijder, A. G. C. L., Heijman, T., Prins, M., Coutinho, R. A., &amp; van der Loeff, M. F. S. (2012). Recreational Drug Use During Sex and Sexually Transmitted Infections Among Clients of a City Sexually Transmitted Infections Clinic in Amsterdam, The Netherlands. </w:t>
      </w:r>
      <w:r w:rsidRPr="006C7BCD">
        <w:rPr>
          <w:i/>
          <w:iCs/>
        </w:rPr>
        <w:t>Sexually Transmitted Diseases</w:t>
      </w:r>
      <w:r w:rsidRPr="006C7BCD">
        <w:t xml:space="preserve">, </w:t>
      </w:r>
      <w:r w:rsidRPr="006C7BCD">
        <w:rPr>
          <w:i/>
          <w:iCs/>
        </w:rPr>
        <w:t>39</w:t>
      </w:r>
      <w:r w:rsidRPr="006C7BCD">
        <w:t>(7), 518–527. https://doi.org/10.1097/OLQ.0b013e3182515601</w:t>
      </w:r>
    </w:p>
    <w:p w14:paraId="4A34558B" w14:textId="77777777" w:rsidR="006C7BCD" w:rsidRPr="006C7BCD" w:rsidRDefault="006C7BCD" w:rsidP="00AC789C">
      <w:pPr>
        <w:pStyle w:val="Bibliografi"/>
        <w:spacing w:line="276" w:lineRule="auto"/>
      </w:pPr>
      <w:r w:rsidRPr="006C7BCD">
        <w:t xml:space="preserve">Herek, G. M. (2004). Beyond “Homophobia”: Thinking about sexual prejudice and stigma in the twenty-first century. </w:t>
      </w:r>
      <w:r w:rsidRPr="006C7BCD">
        <w:rPr>
          <w:i/>
          <w:iCs/>
        </w:rPr>
        <w:t>Sexuality Research and Social Policy</w:t>
      </w:r>
      <w:r w:rsidRPr="006C7BCD">
        <w:t xml:space="preserve">, </w:t>
      </w:r>
      <w:r w:rsidRPr="006C7BCD">
        <w:rPr>
          <w:i/>
          <w:iCs/>
        </w:rPr>
        <w:t>1</w:t>
      </w:r>
      <w:r w:rsidRPr="006C7BCD">
        <w:t>(2), 6–24. https://doi.org/10.1525/srsp.2004.1.2.6</w:t>
      </w:r>
    </w:p>
    <w:p w14:paraId="54C2A2E4" w14:textId="77777777" w:rsidR="006C7BCD" w:rsidRPr="006C7BCD" w:rsidRDefault="006C7BCD" w:rsidP="00AC789C">
      <w:pPr>
        <w:pStyle w:val="Bibliografi"/>
        <w:spacing w:line="276" w:lineRule="auto"/>
      </w:pPr>
      <w:r w:rsidRPr="006C7BCD">
        <w:t xml:space="preserve">Hirschfeld, G., &amp; von Brachel, R. (2014). Multiple-Group confirmatory factor analysis in R – A tutorial in measurement invariance with continuous and ordinal indicators. </w:t>
      </w:r>
      <w:r w:rsidRPr="006C7BCD">
        <w:rPr>
          <w:i/>
          <w:iCs/>
        </w:rPr>
        <w:t>Practical Assessment, Research &amp; Evaluation</w:t>
      </w:r>
      <w:r w:rsidRPr="006C7BCD">
        <w:t xml:space="preserve">, </w:t>
      </w:r>
      <w:r w:rsidRPr="006C7BCD">
        <w:rPr>
          <w:i/>
          <w:iCs/>
        </w:rPr>
        <w:t>19</w:t>
      </w:r>
      <w:r w:rsidRPr="006C7BCD">
        <w:t>(7), 1–13.</w:t>
      </w:r>
    </w:p>
    <w:p w14:paraId="49EFE629" w14:textId="77777777" w:rsidR="006C7BCD" w:rsidRPr="006C7BCD" w:rsidRDefault="006C7BCD" w:rsidP="00AC789C">
      <w:pPr>
        <w:pStyle w:val="Bibliografi"/>
        <w:spacing w:line="276" w:lineRule="auto"/>
      </w:pPr>
      <w:r w:rsidRPr="006C7BCD">
        <w:t xml:space="preserve">Holt, M. (2011). Gay men and ambivalence about ‘gay community’: From gay community attachment to personal communities. </w:t>
      </w:r>
      <w:r w:rsidRPr="006C7BCD">
        <w:rPr>
          <w:i/>
          <w:iCs/>
        </w:rPr>
        <w:t>Culture, Health &amp; Sexuality</w:t>
      </w:r>
      <w:r w:rsidRPr="006C7BCD">
        <w:t xml:space="preserve">, </w:t>
      </w:r>
      <w:r w:rsidRPr="006C7BCD">
        <w:rPr>
          <w:i/>
          <w:iCs/>
        </w:rPr>
        <w:t>13</w:t>
      </w:r>
      <w:r w:rsidRPr="006C7BCD">
        <w:t>(8), 857–871. https://doi.org/10.1080/13691058.2011.581390</w:t>
      </w:r>
    </w:p>
    <w:p w14:paraId="135D8ADD" w14:textId="77777777" w:rsidR="006C7BCD" w:rsidRPr="006C7BCD" w:rsidRDefault="006C7BCD" w:rsidP="00AC789C">
      <w:pPr>
        <w:pStyle w:val="Bibliografi"/>
        <w:spacing w:line="276" w:lineRule="auto"/>
      </w:pPr>
      <w:r w:rsidRPr="006C7BCD">
        <w:t xml:space="preserve">Hu, L., &amp; Bentler, P. M. (1999). Cutoff criteria for fit indexes in covariance structure analysis: Conventional criteria versus new alternatives. </w:t>
      </w:r>
      <w:r w:rsidRPr="006C7BCD">
        <w:rPr>
          <w:i/>
          <w:iCs/>
        </w:rPr>
        <w:t>Structural Equation Modeling: A Multidisciplinary Journal</w:t>
      </w:r>
      <w:r w:rsidRPr="006C7BCD">
        <w:t xml:space="preserve">, </w:t>
      </w:r>
      <w:r w:rsidRPr="006C7BCD">
        <w:rPr>
          <w:i/>
          <w:iCs/>
        </w:rPr>
        <w:t>6</w:t>
      </w:r>
      <w:r w:rsidRPr="006C7BCD">
        <w:t>(1), 1–55. https://doi.org/10.1080/10705519909540118</w:t>
      </w:r>
    </w:p>
    <w:p w14:paraId="06A4FD35" w14:textId="77777777" w:rsidR="006C7BCD" w:rsidRPr="006C7BCD" w:rsidRDefault="006C7BCD" w:rsidP="00AC789C">
      <w:pPr>
        <w:pStyle w:val="Bibliografi"/>
        <w:spacing w:line="276" w:lineRule="auto"/>
      </w:pPr>
      <w:r w:rsidRPr="006C7BCD">
        <w:t xml:space="preserve">Huebner, D. M., Davis, M. C., Nemeroff, C. J., &amp; Aiken, L. S. (2002). The Impact of Internalized Homophobia on HIV Preventive Interventions. </w:t>
      </w:r>
      <w:r w:rsidRPr="006C7BCD">
        <w:rPr>
          <w:i/>
          <w:iCs/>
        </w:rPr>
        <w:t>American Journal of Community Psychology</w:t>
      </w:r>
      <w:r w:rsidRPr="006C7BCD">
        <w:t xml:space="preserve">, </w:t>
      </w:r>
      <w:r w:rsidRPr="006C7BCD">
        <w:rPr>
          <w:i/>
          <w:iCs/>
        </w:rPr>
        <w:t>30</w:t>
      </w:r>
      <w:r w:rsidRPr="006C7BCD">
        <w:t>(3), 327–348. https://doi.org/10.1023/A:1015325303002</w:t>
      </w:r>
    </w:p>
    <w:p w14:paraId="02928138" w14:textId="77777777" w:rsidR="006C7BCD" w:rsidRPr="006C7BCD" w:rsidRDefault="006C7BCD" w:rsidP="00AC789C">
      <w:pPr>
        <w:pStyle w:val="Bibliografi"/>
        <w:spacing w:line="276" w:lineRule="auto"/>
      </w:pPr>
      <w:r w:rsidRPr="006C7BCD">
        <w:t xml:space="preserve">Kashubeck-West, S., &amp; Szymanski, D. M. (2008). Risky Sexual Behavior in Gay and Bisexual Men: Internalized Heterosexism, Sensation Seeking, and Substance Use. </w:t>
      </w:r>
      <w:r w:rsidRPr="006C7BCD">
        <w:rPr>
          <w:i/>
          <w:iCs/>
        </w:rPr>
        <w:t>The Counseling Psychologist</w:t>
      </w:r>
      <w:r w:rsidRPr="006C7BCD">
        <w:t xml:space="preserve">, </w:t>
      </w:r>
      <w:r w:rsidRPr="006C7BCD">
        <w:rPr>
          <w:i/>
          <w:iCs/>
        </w:rPr>
        <w:t>36</w:t>
      </w:r>
      <w:r w:rsidRPr="006C7BCD">
        <w:t>(4), 595–614. https://doi.org/10.1177/0011000007309633</w:t>
      </w:r>
    </w:p>
    <w:p w14:paraId="49740634" w14:textId="77777777" w:rsidR="006C7BCD" w:rsidRPr="006C7BCD" w:rsidRDefault="006C7BCD" w:rsidP="00AC789C">
      <w:pPr>
        <w:pStyle w:val="Bibliografi"/>
        <w:spacing w:line="276" w:lineRule="auto"/>
      </w:pPr>
      <w:r w:rsidRPr="006C7BCD">
        <w:t xml:space="preserve">Meyer, I. H. (2003). Prejudice, Social Stress, and Mental Health in Lesbian, Gay, and Bisexual Populations: Conceptual Issues and Research Evidence. </w:t>
      </w:r>
      <w:r w:rsidRPr="006C7BCD">
        <w:rPr>
          <w:i/>
          <w:iCs/>
        </w:rPr>
        <w:t>Psychol Bull</w:t>
      </w:r>
      <w:r w:rsidRPr="006C7BCD">
        <w:t xml:space="preserve">, </w:t>
      </w:r>
      <w:r w:rsidRPr="006C7BCD">
        <w:rPr>
          <w:i/>
          <w:iCs/>
        </w:rPr>
        <w:t>129</w:t>
      </w:r>
      <w:r w:rsidRPr="006C7BCD">
        <w:t>(5), 674–697.</w:t>
      </w:r>
    </w:p>
    <w:p w14:paraId="031ECFF7" w14:textId="77777777" w:rsidR="006C7BCD" w:rsidRPr="006C7BCD" w:rsidRDefault="006C7BCD" w:rsidP="00AC789C">
      <w:pPr>
        <w:pStyle w:val="Bibliografi"/>
        <w:spacing w:line="276" w:lineRule="auto"/>
      </w:pPr>
      <w:r w:rsidRPr="006C7BCD">
        <w:t xml:space="preserve">Meyer, I. H., &amp; Wilson, P. A. (2009). Sampling lesbian, gay, and bisexual populations. </w:t>
      </w:r>
      <w:r w:rsidRPr="006C7BCD">
        <w:rPr>
          <w:i/>
          <w:iCs/>
        </w:rPr>
        <w:t>Journal of Counseling Psychology</w:t>
      </w:r>
      <w:r w:rsidRPr="006C7BCD">
        <w:t xml:space="preserve">, </w:t>
      </w:r>
      <w:r w:rsidRPr="006C7BCD">
        <w:rPr>
          <w:i/>
          <w:iCs/>
        </w:rPr>
        <w:t>56</w:t>
      </w:r>
      <w:r w:rsidRPr="006C7BCD">
        <w:t>(1), 23–31. https://doi.org/10.1037/a0014587</w:t>
      </w:r>
    </w:p>
    <w:p w14:paraId="501CDD65" w14:textId="77777777" w:rsidR="006C7BCD" w:rsidRPr="006C7BCD" w:rsidRDefault="006C7BCD" w:rsidP="00AC789C">
      <w:pPr>
        <w:pStyle w:val="Bibliografi"/>
        <w:spacing w:line="276" w:lineRule="auto"/>
      </w:pPr>
      <w:r w:rsidRPr="006C7BCD">
        <w:lastRenderedPageBreak/>
        <w:t xml:space="preserve">Mirandola, M., Gios, L., Sherriff, N., Marcus, U., Toskin, I., Rosinska, M., Schink, S., Kühlmann-Berenzon, S., Suligoi, B., Folch, C., Nöstlinger, C., Dias, S., Stanekova, D., Klavs, I., Caplinskas, S., Rafila, A., Marin, C., Alexiev, I., Zohrabyan, L., … on behalf of the SIALON II Network. (2018). Quantifying unmet prevention needs among MSM in Europe through a multi-site bio-behavioural survey. </w:t>
      </w:r>
      <w:r w:rsidRPr="006C7BCD">
        <w:rPr>
          <w:i/>
          <w:iCs/>
        </w:rPr>
        <w:t>Eurosurveillance</w:t>
      </w:r>
      <w:r w:rsidRPr="006C7BCD">
        <w:t xml:space="preserve">, </w:t>
      </w:r>
      <w:r w:rsidRPr="006C7BCD">
        <w:rPr>
          <w:i/>
          <w:iCs/>
        </w:rPr>
        <w:t>23</w:t>
      </w:r>
      <w:r w:rsidRPr="006C7BCD">
        <w:t>(49). https://doi.org/10.2807/1560-7917.ES.2018.23.49.1800097</w:t>
      </w:r>
    </w:p>
    <w:p w14:paraId="7E663B0A" w14:textId="77777777" w:rsidR="006C7BCD" w:rsidRPr="006C7BCD" w:rsidRDefault="006C7BCD" w:rsidP="00AC789C">
      <w:pPr>
        <w:pStyle w:val="Bibliografi"/>
        <w:spacing w:line="276" w:lineRule="auto"/>
      </w:pPr>
      <w:r w:rsidRPr="006C7BCD">
        <w:t xml:space="preserve">Moody, R. L., Starks, T. J., Grov, C., &amp; Parsons, J. T. (2018). Internalized Homophobia and Drug Use in a National Cohort of Gay and Bisexual Men: Examining Depression, Sexual Anxiety, and Gay Community Attachment as Mediating Factors. </w:t>
      </w:r>
      <w:r w:rsidRPr="006C7BCD">
        <w:rPr>
          <w:i/>
          <w:iCs/>
        </w:rPr>
        <w:t>Archives of Sexual Behavior</w:t>
      </w:r>
      <w:r w:rsidRPr="006C7BCD">
        <w:t xml:space="preserve">, </w:t>
      </w:r>
      <w:r w:rsidRPr="006C7BCD">
        <w:rPr>
          <w:i/>
          <w:iCs/>
        </w:rPr>
        <w:t>47</w:t>
      </w:r>
      <w:r w:rsidRPr="006C7BCD">
        <w:t>(4), 1133–1144. https://doi.org/10.1007/s10508-017-1009-2</w:t>
      </w:r>
    </w:p>
    <w:p w14:paraId="32F3ED30" w14:textId="77777777" w:rsidR="006C7BCD" w:rsidRPr="006C7BCD" w:rsidRDefault="006C7BCD" w:rsidP="00AC789C">
      <w:pPr>
        <w:pStyle w:val="Bibliografi"/>
        <w:spacing w:line="276" w:lineRule="auto"/>
      </w:pPr>
      <w:r w:rsidRPr="006C7BCD">
        <w:t xml:space="preserve">Moonie, S., Huang, X., &amp; Sterling, D. A. (2009). </w:t>
      </w:r>
      <w:r w:rsidRPr="006C7BCD">
        <w:rPr>
          <w:i/>
          <w:iCs/>
        </w:rPr>
        <w:t>Quality of Life Estimation with Structural Equation Modeling in School Aged Children with Asthma</w:t>
      </w:r>
      <w:r w:rsidRPr="006C7BCD">
        <w:t xml:space="preserve">. </w:t>
      </w:r>
      <w:r w:rsidRPr="006C7BCD">
        <w:rPr>
          <w:i/>
          <w:iCs/>
        </w:rPr>
        <w:t>3</w:t>
      </w:r>
      <w:r w:rsidRPr="006C7BCD">
        <w:t>, 1–16.</w:t>
      </w:r>
    </w:p>
    <w:p w14:paraId="52DF1C55" w14:textId="77777777" w:rsidR="006C7BCD" w:rsidRPr="006C7BCD" w:rsidRDefault="006C7BCD" w:rsidP="00AC789C">
      <w:pPr>
        <w:pStyle w:val="Bibliografi"/>
        <w:spacing w:line="276" w:lineRule="auto"/>
      </w:pPr>
      <w:r w:rsidRPr="006C7BCD">
        <w:t xml:space="preserve">Morandini, J. S., Blaszczynski, A., Ross, M. W., Costa, D. S. J., &amp; Dar-Nimrod, I. (2015). Essentialist beliefs, sexual identity uncertainty, internalized homonegativity and psychological wellbeing in gay men. </w:t>
      </w:r>
      <w:r w:rsidRPr="006C7BCD">
        <w:rPr>
          <w:i/>
          <w:iCs/>
        </w:rPr>
        <w:t>Journal of Counseling Psychology</w:t>
      </w:r>
      <w:r w:rsidRPr="006C7BCD">
        <w:t xml:space="preserve">, </w:t>
      </w:r>
      <w:r w:rsidRPr="006C7BCD">
        <w:rPr>
          <w:i/>
          <w:iCs/>
        </w:rPr>
        <w:t>62</w:t>
      </w:r>
      <w:r w:rsidRPr="006C7BCD">
        <w:t>(3), 413–424. https://doi.org/10.1037/cou0000072</w:t>
      </w:r>
    </w:p>
    <w:p w14:paraId="544ED72C" w14:textId="77777777" w:rsidR="006C7BCD" w:rsidRPr="006C7BCD" w:rsidRDefault="006C7BCD" w:rsidP="00AC789C">
      <w:pPr>
        <w:pStyle w:val="Bibliografi"/>
        <w:spacing w:line="276" w:lineRule="auto"/>
      </w:pPr>
      <w:r w:rsidRPr="006C7BCD">
        <w:t xml:space="preserve">Newcomb, M. E., &amp; Mustanski, B. (2010a). Internalized homophobia and internalizing mental health problems: A meta-analytic review. </w:t>
      </w:r>
      <w:r w:rsidRPr="006C7BCD">
        <w:rPr>
          <w:i/>
          <w:iCs/>
        </w:rPr>
        <w:t>Clinical Psychology Review</w:t>
      </w:r>
      <w:r w:rsidRPr="006C7BCD">
        <w:t xml:space="preserve">, </w:t>
      </w:r>
      <w:r w:rsidRPr="006C7BCD">
        <w:rPr>
          <w:i/>
          <w:iCs/>
        </w:rPr>
        <w:t>30</w:t>
      </w:r>
      <w:r w:rsidRPr="006C7BCD">
        <w:t>(8), 1019–1029. https://doi.org/10.1016/j.cpr.2010.07.003</w:t>
      </w:r>
    </w:p>
    <w:p w14:paraId="6FA19B35" w14:textId="77777777" w:rsidR="006C7BCD" w:rsidRPr="006C7BCD" w:rsidRDefault="006C7BCD" w:rsidP="00AC789C">
      <w:pPr>
        <w:pStyle w:val="Bibliografi"/>
        <w:spacing w:line="276" w:lineRule="auto"/>
      </w:pPr>
      <w:r w:rsidRPr="006C7BCD">
        <w:t xml:space="preserve">Newcomb, M. E., &amp; Mustanski, B. (2010b). The Importance of Measuring Internalized Homophobia/Homonegativity: Reply to Ross, Rosser, and Smolenski (2010a). </w:t>
      </w:r>
      <w:r w:rsidRPr="006C7BCD">
        <w:rPr>
          <w:i/>
          <w:iCs/>
        </w:rPr>
        <w:t>Archives of Sexual Behavior</w:t>
      </w:r>
      <w:r w:rsidRPr="006C7BCD">
        <w:t xml:space="preserve">, </w:t>
      </w:r>
      <w:r w:rsidRPr="006C7BCD">
        <w:rPr>
          <w:i/>
          <w:iCs/>
        </w:rPr>
        <w:t>39</w:t>
      </w:r>
      <w:r w:rsidRPr="006C7BCD">
        <w:t>(6), 1209–1211. https://doi.org/10.1007/s10508-010-9655-7</w:t>
      </w:r>
    </w:p>
    <w:p w14:paraId="25CC337F" w14:textId="77777777" w:rsidR="006C7BCD" w:rsidRPr="006C7BCD" w:rsidRDefault="006C7BCD" w:rsidP="00AC789C">
      <w:pPr>
        <w:pStyle w:val="Bibliografi"/>
        <w:spacing w:line="276" w:lineRule="auto"/>
      </w:pPr>
      <w:r w:rsidRPr="006C7BCD">
        <w:t xml:space="preserve">Prah, P., Hickson, F., Bonell, C., McDaid, L. M., Johnson, A. M., Wayal, S., Clifton, S., Sonnenberg, P., Nardone, A., Erens, B., Copas, A. J., Riddell, J., Weatherburn, P., &amp; Mercer, C. H. (2016). Men who have sex with men in Great Britain: Comparing methods and estimates from probability and convenience sample surveys. </w:t>
      </w:r>
      <w:r w:rsidRPr="006C7BCD">
        <w:rPr>
          <w:i/>
          <w:iCs/>
        </w:rPr>
        <w:t>Sexually Transmitted Infections</w:t>
      </w:r>
      <w:r w:rsidRPr="006C7BCD">
        <w:t xml:space="preserve">, </w:t>
      </w:r>
      <w:r w:rsidRPr="006C7BCD">
        <w:rPr>
          <w:i/>
          <w:iCs/>
        </w:rPr>
        <w:t>92</w:t>
      </w:r>
      <w:r w:rsidRPr="006C7BCD">
        <w:t>(6), 455–463. https://doi.org/10.1136/sextrans-2015-052389</w:t>
      </w:r>
    </w:p>
    <w:p w14:paraId="25E050B3" w14:textId="77777777" w:rsidR="006C7BCD" w:rsidRPr="006C7BCD" w:rsidRDefault="006C7BCD" w:rsidP="00AC789C">
      <w:pPr>
        <w:pStyle w:val="Bibliografi"/>
        <w:spacing w:line="276" w:lineRule="auto"/>
      </w:pPr>
      <w:r w:rsidRPr="006C7BCD">
        <w:t xml:space="preserve">Puckett, J. A., Newcomb, M. E., Garofalo, R., &amp; Mustanski, B. (2017a). Examining the Conditions Under Which Internalized Homophobia Is Associated with Substance Use and Condomless Sex in Young MSM: The Moderating Role of Impulsivity. </w:t>
      </w:r>
      <w:r w:rsidRPr="006C7BCD">
        <w:rPr>
          <w:i/>
          <w:iCs/>
        </w:rPr>
        <w:t>Annals of Behavioral Medicine</w:t>
      </w:r>
      <w:r w:rsidRPr="006C7BCD">
        <w:t xml:space="preserve">, </w:t>
      </w:r>
      <w:r w:rsidRPr="006C7BCD">
        <w:rPr>
          <w:i/>
          <w:iCs/>
        </w:rPr>
        <w:t>51</w:t>
      </w:r>
      <w:r w:rsidRPr="006C7BCD">
        <w:t>(4), 567–577. https://doi.org/10.1007/s12160-017-9878-0</w:t>
      </w:r>
    </w:p>
    <w:p w14:paraId="2984BA65" w14:textId="77777777" w:rsidR="006C7BCD" w:rsidRPr="006C7BCD" w:rsidRDefault="006C7BCD" w:rsidP="00AC789C">
      <w:pPr>
        <w:pStyle w:val="Bibliografi"/>
        <w:spacing w:line="276" w:lineRule="auto"/>
      </w:pPr>
      <w:r w:rsidRPr="006C7BCD">
        <w:t xml:space="preserve">Puckett, J. A., Newcomb, M. E., Garofalo, R., &amp; Mustanski, B. (2017b). Examining the Conditions Under Which Internalized Homophobia Is Associated with Substance Use and Condomless Sex in Young MSM: The Moderating Role of Impulsivity. </w:t>
      </w:r>
      <w:r w:rsidRPr="006C7BCD">
        <w:rPr>
          <w:i/>
          <w:iCs/>
        </w:rPr>
        <w:t>Annals of Behavioral Medicine</w:t>
      </w:r>
      <w:r w:rsidRPr="006C7BCD">
        <w:t xml:space="preserve">, </w:t>
      </w:r>
      <w:r w:rsidRPr="006C7BCD">
        <w:rPr>
          <w:i/>
          <w:iCs/>
        </w:rPr>
        <w:t>51</w:t>
      </w:r>
      <w:r w:rsidRPr="006C7BCD">
        <w:t>(4), 567–577. https://doi.org/10.1007/s12160-017-9878-0</w:t>
      </w:r>
    </w:p>
    <w:p w14:paraId="63EF8696" w14:textId="77777777" w:rsidR="006C7BCD" w:rsidRPr="006C7BCD" w:rsidRDefault="006C7BCD" w:rsidP="00AC789C">
      <w:pPr>
        <w:pStyle w:val="Bibliografi"/>
        <w:spacing w:line="276" w:lineRule="auto"/>
      </w:pPr>
      <w:r w:rsidRPr="006C7BCD">
        <w:t xml:space="preserve">Schmidt, A. J., Hickson, F., Weatherburn, P., Marcus, U., &amp; The EMIS Network. (2013). Comparison of the performance of STI Screening Services for gay and bisexual men across 40 European cities: Results from the European MSM Internet Survey. </w:t>
      </w:r>
      <w:r w:rsidRPr="006C7BCD">
        <w:rPr>
          <w:i/>
          <w:iCs/>
        </w:rPr>
        <w:t xml:space="preserve">Sexually </w:t>
      </w:r>
      <w:r w:rsidRPr="006C7BCD">
        <w:rPr>
          <w:i/>
          <w:iCs/>
        </w:rPr>
        <w:lastRenderedPageBreak/>
        <w:t>Transmitted Infections</w:t>
      </w:r>
      <w:r w:rsidRPr="006C7BCD">
        <w:t xml:space="preserve">, </w:t>
      </w:r>
      <w:r w:rsidRPr="006C7BCD">
        <w:rPr>
          <w:i/>
          <w:iCs/>
        </w:rPr>
        <w:t>89</w:t>
      </w:r>
      <w:r w:rsidRPr="006C7BCD">
        <w:t>(7), 575–582. https://doi.org/10.1136/sextrans-2012-050973</w:t>
      </w:r>
    </w:p>
    <w:p w14:paraId="770B16C9" w14:textId="77777777" w:rsidR="006C7BCD" w:rsidRPr="006C7BCD" w:rsidRDefault="006C7BCD" w:rsidP="00AC789C">
      <w:pPr>
        <w:pStyle w:val="Bibliografi"/>
        <w:spacing w:line="276" w:lineRule="auto"/>
      </w:pPr>
      <w:r w:rsidRPr="006C7BCD">
        <w:t xml:space="preserve">Sewell, J., Miltz, A., Lampe, F. C., Cambiano, V., Speakman, A., Phillips, A. N., Stuart, D., Gilson, R., Asboe, D., Nwokolo, N., Clarke, A., Collins, S., Hart, G., Elford, J., &amp; Rodger, A. J. (2017). Poly drug use, chemsex drug use, and associations with sexual risk behaviour in HIV-negative men who have sex with men attending sexual health clinics. </w:t>
      </w:r>
      <w:r w:rsidRPr="006C7BCD">
        <w:rPr>
          <w:i/>
          <w:iCs/>
        </w:rPr>
        <w:t>International Journal of Drug Policy</w:t>
      </w:r>
      <w:r w:rsidRPr="006C7BCD">
        <w:t xml:space="preserve">, </w:t>
      </w:r>
      <w:r w:rsidRPr="006C7BCD">
        <w:rPr>
          <w:i/>
          <w:iCs/>
        </w:rPr>
        <w:t>43</w:t>
      </w:r>
      <w:r w:rsidRPr="006C7BCD">
        <w:t>, 33–43. https://doi.org/10.1016/j.drugpo.2017.01.001</w:t>
      </w:r>
    </w:p>
    <w:p w14:paraId="7F76053E" w14:textId="77777777" w:rsidR="006C7BCD" w:rsidRPr="006C7BCD" w:rsidRDefault="006C7BCD" w:rsidP="00AC789C">
      <w:pPr>
        <w:pStyle w:val="Bibliografi"/>
        <w:spacing w:line="276" w:lineRule="auto"/>
      </w:pPr>
      <w:r w:rsidRPr="006C7BCD">
        <w:t xml:space="preserve">Sihombing, S. O. (2012). Comparing Entrepreneurship Intention: A Multigroup Structural Equation Modeling Approach. </w:t>
      </w:r>
      <w:r w:rsidRPr="006C7BCD">
        <w:rPr>
          <w:i/>
          <w:iCs/>
        </w:rPr>
        <w:t>International Research Journal of Business Studies</w:t>
      </w:r>
      <w:r w:rsidRPr="006C7BCD">
        <w:t xml:space="preserve">, </w:t>
      </w:r>
      <w:r w:rsidRPr="006C7BCD">
        <w:rPr>
          <w:i/>
          <w:iCs/>
        </w:rPr>
        <w:t>5</w:t>
      </w:r>
      <w:r w:rsidRPr="006C7BCD">
        <w:t>(1), 57–71. https://doi.org/10.21632/irjbs.5.1.57-71</w:t>
      </w:r>
    </w:p>
    <w:p w14:paraId="6DB40ED6" w14:textId="77777777" w:rsidR="006C7BCD" w:rsidRPr="006C7BCD" w:rsidRDefault="006C7BCD" w:rsidP="00AC789C">
      <w:pPr>
        <w:pStyle w:val="Bibliografi"/>
        <w:spacing w:line="276" w:lineRule="auto"/>
      </w:pPr>
      <w:r w:rsidRPr="006C7BCD">
        <w:t xml:space="preserve">T.C. Sağlık Bakanlığı. (2021). </w:t>
      </w:r>
      <w:r w:rsidRPr="006C7BCD">
        <w:rPr>
          <w:i/>
          <w:iCs/>
        </w:rPr>
        <w:t>HIV-AIDS İstatistik</w:t>
      </w:r>
      <w:r w:rsidRPr="006C7BCD">
        <w:t>. https://hsgm.saglik.gov.tr/tr/bulasici-hastaliklar/hiv-aids/hiv-aids-liste/hiv-aids-istatislik.html</w:t>
      </w:r>
    </w:p>
    <w:p w14:paraId="2FAA1690" w14:textId="77777777" w:rsidR="006C7BCD" w:rsidRPr="006C7BCD" w:rsidRDefault="006C7BCD" w:rsidP="00AC789C">
      <w:pPr>
        <w:pStyle w:val="Bibliografi"/>
        <w:spacing w:line="276" w:lineRule="auto"/>
      </w:pPr>
      <w:r w:rsidRPr="006C7BCD">
        <w:t xml:space="preserve">The EMIS Network. (2013). </w:t>
      </w:r>
      <w:r w:rsidRPr="006C7BCD">
        <w:rPr>
          <w:i/>
          <w:iCs/>
        </w:rPr>
        <w:t>EMIS 2010-The European Men-Who-Have-Sex-With-Men Internet Survey: Findings from 38 countries.</w:t>
      </w:r>
      <w:r w:rsidRPr="006C7BCD">
        <w:t xml:space="preserve"> European Centre for Disease Prevention and Control. https://data.europa.eu/doi/10.2900/79639</w:t>
      </w:r>
    </w:p>
    <w:p w14:paraId="2B305EAB" w14:textId="77777777" w:rsidR="006C7BCD" w:rsidRPr="006C7BCD" w:rsidRDefault="006C7BCD" w:rsidP="00AC789C">
      <w:pPr>
        <w:pStyle w:val="Bibliografi"/>
        <w:spacing w:line="276" w:lineRule="auto"/>
      </w:pPr>
      <w:r w:rsidRPr="006C7BCD">
        <w:t xml:space="preserve">The EMIS Network. (2019). </w:t>
      </w:r>
      <w:r w:rsidRPr="006C7BCD">
        <w:rPr>
          <w:i/>
          <w:iCs/>
        </w:rPr>
        <w:t>EMIS-2017: European Men-Who-Have-Sex-With-Men Internet Survey: Key findings from 50 countries.</w:t>
      </w:r>
      <w:r w:rsidRPr="006C7BCD">
        <w:t xml:space="preserve"> European Centre for Disease Prevention and Control. https://data.europa.eu/doi/10.2900/690387</w:t>
      </w:r>
    </w:p>
    <w:p w14:paraId="79AC7D1E" w14:textId="77777777" w:rsidR="006C7BCD" w:rsidRPr="006C7BCD" w:rsidRDefault="006C7BCD" w:rsidP="00AC789C">
      <w:pPr>
        <w:pStyle w:val="Bibliografi"/>
        <w:spacing w:line="276" w:lineRule="auto"/>
      </w:pPr>
      <w:r w:rsidRPr="006C7BCD">
        <w:t xml:space="preserve">Torres, C. A., &amp; Rodrigues, D. L. (2021). Heteronormative Beliefs and Internalized Homonegativity in the Coming Out Process of Portuguese and Turkish Sexual Minority Men. </w:t>
      </w:r>
      <w:r w:rsidRPr="006C7BCD">
        <w:rPr>
          <w:i/>
          <w:iCs/>
        </w:rPr>
        <w:t>Sexuality Research and Social Policy</w:t>
      </w:r>
      <w:r w:rsidRPr="006C7BCD">
        <w:t>. https://doi.org/10.1007/s13178-021-00582-x</w:t>
      </w:r>
    </w:p>
    <w:p w14:paraId="6948CE2C" w14:textId="77777777" w:rsidR="006C7BCD" w:rsidRPr="006C7BCD" w:rsidRDefault="006C7BCD" w:rsidP="00AC789C">
      <w:pPr>
        <w:pStyle w:val="Bibliografi"/>
        <w:spacing w:line="276" w:lineRule="auto"/>
      </w:pPr>
      <w:r w:rsidRPr="006C7BCD">
        <w:t xml:space="preserve">Tran, H., Ross, M. W., Diamond, P. M., Berg, R. C., Weatherburn, P., &amp; Schmidt, A. J. (2018). Structural Validation and Multiple Group Assessment of the Short Internalized Homonegativity Scale in Homosexual and Bisexual Men in 38 European Countries: Results from the European MSM Internet Survey. </w:t>
      </w:r>
      <w:r w:rsidRPr="006C7BCD">
        <w:rPr>
          <w:i/>
          <w:iCs/>
        </w:rPr>
        <w:t>The Journal of Sex Research</w:t>
      </w:r>
      <w:r w:rsidRPr="006C7BCD">
        <w:t xml:space="preserve">, </w:t>
      </w:r>
      <w:r w:rsidRPr="006C7BCD">
        <w:rPr>
          <w:i/>
          <w:iCs/>
        </w:rPr>
        <w:t>55</w:t>
      </w:r>
      <w:r w:rsidRPr="006C7BCD">
        <w:t>(4–5), 617–629. https://doi.org/10.1080/00224499.2017.1380158</w:t>
      </w:r>
    </w:p>
    <w:p w14:paraId="291A6BF1" w14:textId="77777777" w:rsidR="006C7BCD" w:rsidRPr="006C7BCD" w:rsidRDefault="006C7BCD" w:rsidP="00AC789C">
      <w:pPr>
        <w:pStyle w:val="Bibliografi"/>
        <w:spacing w:line="276" w:lineRule="auto"/>
      </w:pPr>
      <w:r w:rsidRPr="006C7BCD">
        <w:t xml:space="preserve">van de Schoot, R., Lugtig, P., &amp; Hox, J. (2012). A checklist for testing measurement invariance. </w:t>
      </w:r>
      <w:r w:rsidRPr="006C7BCD">
        <w:rPr>
          <w:i/>
          <w:iCs/>
        </w:rPr>
        <w:t>European Journal of Developmental Psychology</w:t>
      </w:r>
      <w:r w:rsidRPr="006C7BCD">
        <w:t xml:space="preserve">, </w:t>
      </w:r>
      <w:r w:rsidRPr="006C7BCD">
        <w:rPr>
          <w:i/>
          <w:iCs/>
        </w:rPr>
        <w:t>9</w:t>
      </w:r>
      <w:r w:rsidRPr="006C7BCD">
        <w:t>(4), 486–492. https://doi.org/10.1080/17405629.2012.686740</w:t>
      </w:r>
    </w:p>
    <w:p w14:paraId="75ABBCFC" w14:textId="77777777" w:rsidR="006C7BCD" w:rsidRPr="006C7BCD" w:rsidRDefault="006C7BCD" w:rsidP="00AC789C">
      <w:pPr>
        <w:pStyle w:val="Bibliografi"/>
        <w:spacing w:line="276" w:lineRule="auto"/>
      </w:pPr>
      <w:r w:rsidRPr="006C7BCD">
        <w:t xml:space="preserve">Velter, A., Saboni, L., Sommen, C., Bernillon, P., Bajos, N., &amp; Semaille, C. (2015). Sexual and prevention practices in men who have sex with men in the era of combination HIV prevention: Results from the Presse Gays et Lesbiennes survey, France, 2011. </w:t>
      </w:r>
      <w:r w:rsidRPr="006C7BCD">
        <w:rPr>
          <w:i/>
          <w:iCs/>
        </w:rPr>
        <w:t>Eurosurveillance</w:t>
      </w:r>
      <w:r w:rsidRPr="006C7BCD">
        <w:t xml:space="preserve">, </w:t>
      </w:r>
      <w:r w:rsidRPr="006C7BCD">
        <w:rPr>
          <w:i/>
          <w:iCs/>
        </w:rPr>
        <w:t>20</w:t>
      </w:r>
      <w:r w:rsidRPr="006C7BCD">
        <w:t>(14). https://doi.org/10.2807/1560-7917.ES2015.20.14.21090</w:t>
      </w:r>
    </w:p>
    <w:p w14:paraId="587E17D7" w14:textId="77777777" w:rsidR="006C7BCD" w:rsidRPr="006C7BCD" w:rsidRDefault="006C7BCD" w:rsidP="00AC789C">
      <w:pPr>
        <w:pStyle w:val="Bibliografi"/>
        <w:spacing w:line="276" w:lineRule="auto"/>
      </w:pPr>
      <w:r w:rsidRPr="006C7BCD">
        <w:t xml:space="preserve">Weatherburn, P., Hickson, F., Reid, D. S., Marcus, U., &amp; Schmidt, A. J. (2020). European Men-Who-Have-Sex-With-Men Internet Survey (EMIS-2017): Design and Methods. </w:t>
      </w:r>
      <w:r w:rsidRPr="006C7BCD">
        <w:rPr>
          <w:i/>
          <w:iCs/>
        </w:rPr>
        <w:t>Sexuality Research and Social Policy</w:t>
      </w:r>
      <w:r w:rsidRPr="006C7BCD">
        <w:t xml:space="preserve">, </w:t>
      </w:r>
      <w:r w:rsidRPr="006C7BCD">
        <w:rPr>
          <w:i/>
          <w:iCs/>
        </w:rPr>
        <w:t>17</w:t>
      </w:r>
      <w:r w:rsidRPr="006C7BCD">
        <w:t>(4), 543–557. https://doi.org/10.1007/s13178-019-00413-0</w:t>
      </w:r>
    </w:p>
    <w:p w14:paraId="78657C87" w14:textId="77777777" w:rsidR="006C7BCD" w:rsidRPr="006C7BCD" w:rsidRDefault="006C7BCD" w:rsidP="00AC789C">
      <w:pPr>
        <w:pStyle w:val="Bibliografi"/>
        <w:spacing w:line="276" w:lineRule="auto"/>
      </w:pPr>
      <w:r w:rsidRPr="006C7BCD">
        <w:lastRenderedPageBreak/>
        <w:t xml:space="preserve">Weston, R., &amp; Gore, P. A. (2006). A Brief Guide to Structural Equation Modeling. </w:t>
      </w:r>
      <w:r w:rsidRPr="006C7BCD">
        <w:rPr>
          <w:i/>
          <w:iCs/>
        </w:rPr>
        <w:t>The Counseling Psychologist</w:t>
      </w:r>
      <w:r w:rsidRPr="006C7BCD">
        <w:t xml:space="preserve">, </w:t>
      </w:r>
      <w:r w:rsidRPr="006C7BCD">
        <w:rPr>
          <w:i/>
          <w:iCs/>
        </w:rPr>
        <w:t>34</w:t>
      </w:r>
      <w:r w:rsidRPr="006C7BCD">
        <w:t>(5), 719–751. https://doi.org/10.1177/0011000006286345</w:t>
      </w:r>
    </w:p>
    <w:p w14:paraId="686736AF" w14:textId="77777777" w:rsidR="006C7BCD" w:rsidRPr="006C7BCD" w:rsidRDefault="006C7BCD" w:rsidP="00AC789C">
      <w:pPr>
        <w:pStyle w:val="Bibliografi"/>
        <w:spacing w:line="276" w:lineRule="auto"/>
      </w:pPr>
      <w:r w:rsidRPr="006C7BCD">
        <w:t xml:space="preserve">Williamson, I. R. (2000). Internalized homophobia and health issues affecting lesbians and gay men. </w:t>
      </w:r>
      <w:r w:rsidRPr="006C7BCD">
        <w:rPr>
          <w:i/>
          <w:iCs/>
        </w:rPr>
        <w:t>Health Education Research</w:t>
      </w:r>
      <w:r w:rsidRPr="006C7BCD">
        <w:t xml:space="preserve">, </w:t>
      </w:r>
      <w:r w:rsidRPr="006C7BCD">
        <w:rPr>
          <w:i/>
          <w:iCs/>
        </w:rPr>
        <w:t>15</w:t>
      </w:r>
      <w:r w:rsidRPr="006C7BCD">
        <w:t>(1), 97–107. https://doi.org/10.1093/her/15.1.97</w:t>
      </w:r>
    </w:p>
    <w:p w14:paraId="5AA9CA4A" w14:textId="77777777" w:rsidR="006C7BCD" w:rsidRPr="006C7BCD" w:rsidRDefault="006C7BCD" w:rsidP="00AC789C">
      <w:pPr>
        <w:pStyle w:val="Bibliografi"/>
        <w:spacing w:line="276" w:lineRule="auto"/>
      </w:pPr>
      <w:r w:rsidRPr="006C7BCD">
        <w:t xml:space="preserve">Xia, Y., &amp; Yang, Y. (2019). RMSEA, CFI, and TLI in structural equation modeling with ordered categorical data: The story they tell depends on the estimation methods. </w:t>
      </w:r>
      <w:r w:rsidRPr="006C7BCD">
        <w:rPr>
          <w:i/>
          <w:iCs/>
        </w:rPr>
        <w:t>Behavior Research Methods</w:t>
      </w:r>
      <w:r w:rsidRPr="006C7BCD">
        <w:t xml:space="preserve">, </w:t>
      </w:r>
      <w:r w:rsidRPr="006C7BCD">
        <w:rPr>
          <w:i/>
          <w:iCs/>
        </w:rPr>
        <w:t>51</w:t>
      </w:r>
      <w:r w:rsidRPr="006C7BCD">
        <w:t>(1), 409–428. https://doi.org/10.3758/s13428-018-1055-2</w:t>
      </w:r>
    </w:p>
    <w:p w14:paraId="7F88B3BA" w14:textId="4F69D113" w:rsidR="00A22B1F" w:rsidRPr="00A22B1F" w:rsidRDefault="001F44C3" w:rsidP="00AC789C">
      <w:pPr>
        <w:spacing w:line="276" w:lineRule="auto"/>
        <w:rPr>
          <w:lang w:val="en-GB"/>
        </w:rPr>
      </w:pPr>
      <w:r>
        <w:rPr>
          <w:rFonts w:ascii="Calibri"/>
        </w:rPr>
        <w:fldChar w:fldCharType="end"/>
      </w:r>
      <w:r w:rsidR="004E686B">
        <w:rPr>
          <w:rFonts w:ascii="Calibri"/>
        </w:rPr>
        <w:t xml:space="preserve"> </w:t>
      </w:r>
    </w:p>
    <w:sectPr w:rsidR="00A22B1F" w:rsidRPr="00A22B1F" w:rsidSect="008B683B">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A88B" w14:textId="77777777" w:rsidR="00E35277" w:rsidRDefault="00E35277" w:rsidP="005C331D">
      <w:r>
        <w:separator/>
      </w:r>
    </w:p>
  </w:endnote>
  <w:endnote w:type="continuationSeparator" w:id="0">
    <w:p w14:paraId="301D78D1" w14:textId="77777777" w:rsidR="00E35277" w:rsidRDefault="00E35277" w:rsidP="005C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80E2" w14:textId="77777777" w:rsidR="00D71B3C" w:rsidRDefault="00D71B3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E0CB" w14:textId="77777777" w:rsidR="00D71B3C" w:rsidRDefault="00D71B3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DA7E" w14:textId="77777777" w:rsidR="00D71B3C" w:rsidRDefault="00D71B3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1390" w14:textId="77777777" w:rsidR="00E35277" w:rsidRDefault="00E35277" w:rsidP="005C331D">
      <w:r>
        <w:separator/>
      </w:r>
    </w:p>
  </w:footnote>
  <w:footnote w:type="continuationSeparator" w:id="0">
    <w:p w14:paraId="2EE42146" w14:textId="77777777" w:rsidR="00E35277" w:rsidRDefault="00E35277" w:rsidP="005C3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1A05" w14:textId="6EBC855F" w:rsidR="00BF5E21" w:rsidRDefault="00927AEF" w:rsidP="00A760F8">
    <w:pPr>
      <w:pStyle w:val="Topptekst"/>
      <w:framePr w:wrap="none" w:vAnchor="text" w:hAnchor="margin" w:xAlign="right" w:y="1"/>
      <w:rPr>
        <w:rStyle w:val="Sidetall"/>
      </w:rPr>
    </w:pPr>
    <w:r>
      <w:rPr>
        <w:noProof/>
      </w:rPr>
      <w:pict w14:anchorId="090062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356688" o:spid="_x0000_s2050" type="#_x0000_t136" style="position:absolute;margin-left:0;margin-top:0;width:464.8pt;height:174.3pt;rotation:315;z-index:-251655168;mso-position-horizontal:center;mso-position-horizontal-relative:margin;mso-position-vertical:center;mso-position-vertical-relative:margin" o:allowincell="f" fillcolor="silver" stroked="f">
          <v:fill opacity=".5"/>
          <v:textpath style="font-family:&quot;Calibri&quot;;font-size:1pt" string="ACCEPTED"/>
          <w10:wrap anchorx="margin" anchory="margin"/>
        </v:shape>
      </w:pict>
    </w:r>
  </w:p>
  <w:sdt>
    <w:sdtPr>
      <w:rPr>
        <w:rStyle w:val="Sidetall"/>
      </w:rPr>
      <w:id w:val="-793291575"/>
      <w:docPartObj>
        <w:docPartGallery w:val="Page Numbers (Top of Page)"/>
        <w:docPartUnique/>
      </w:docPartObj>
    </w:sdtPr>
    <w:sdtEndPr>
      <w:rPr>
        <w:rStyle w:val="Sidetall"/>
      </w:rPr>
    </w:sdtEndPr>
    <w:sdtContent>
      <w:p w14:paraId="5063C1CE" w14:textId="77777777" w:rsidR="00BF5E21" w:rsidRDefault="00BF5E21" w:rsidP="00A760F8">
        <w:pPr>
          <w:pStyle w:val="Topp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224404EF" w14:textId="77777777" w:rsidR="00BF5E21" w:rsidRDefault="00BF5E21" w:rsidP="005C331D">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8373" w14:textId="27F61355" w:rsidR="00BF5E21" w:rsidRDefault="00927AEF" w:rsidP="00A760F8">
    <w:pPr>
      <w:pStyle w:val="Topptekst"/>
      <w:framePr w:wrap="none" w:vAnchor="text" w:hAnchor="margin" w:xAlign="right" w:y="1"/>
      <w:rPr>
        <w:rStyle w:val="Sidetall"/>
      </w:rPr>
    </w:pPr>
    <w:r>
      <w:rPr>
        <w:noProof/>
      </w:rPr>
      <w:pict w14:anchorId="0DF91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356689" o:spid="_x0000_s2051" type="#_x0000_t136" style="position:absolute;margin-left:0;margin-top:0;width:464.8pt;height:174.3pt;rotation:315;z-index:-251653120;mso-position-horizontal:center;mso-position-horizontal-relative:margin;mso-position-vertical:center;mso-position-vertical-relative:margin" o:allowincell="f" fillcolor="silver" stroked="f">
          <v:fill opacity=".5"/>
          <v:textpath style="font-family:&quot;Calibri&quot;;font-size:1pt" string="ACCEPTED"/>
          <w10:wrap anchorx="margin" anchory="margin"/>
        </v:shape>
      </w:pict>
    </w:r>
    <w:sdt>
      <w:sdtPr>
        <w:rPr>
          <w:rStyle w:val="Sidetall"/>
        </w:rPr>
        <w:id w:val="504166850"/>
        <w:docPartObj>
          <w:docPartGallery w:val="Page Numbers (Top of Page)"/>
          <w:docPartUnique/>
        </w:docPartObj>
      </w:sdtPr>
      <w:sdtEndPr>
        <w:rPr>
          <w:rStyle w:val="Sidetall"/>
        </w:rPr>
      </w:sdtEndPr>
      <w:sdtContent>
        <w:r w:rsidR="00BF5E21">
          <w:rPr>
            <w:rStyle w:val="Sidetall"/>
          </w:rPr>
          <w:fldChar w:fldCharType="begin"/>
        </w:r>
        <w:r w:rsidR="00BF5E21">
          <w:rPr>
            <w:rStyle w:val="Sidetall"/>
          </w:rPr>
          <w:instrText xml:space="preserve"> PAGE </w:instrText>
        </w:r>
        <w:r w:rsidR="00BF5E21">
          <w:rPr>
            <w:rStyle w:val="Sidetall"/>
          </w:rPr>
          <w:fldChar w:fldCharType="separate"/>
        </w:r>
        <w:r w:rsidR="008A7703">
          <w:rPr>
            <w:rStyle w:val="Sidetall"/>
            <w:noProof/>
          </w:rPr>
          <w:t>4</w:t>
        </w:r>
        <w:r w:rsidR="00BF5E21">
          <w:rPr>
            <w:rStyle w:val="Sidetall"/>
          </w:rPr>
          <w:fldChar w:fldCharType="end"/>
        </w:r>
      </w:sdtContent>
    </w:sdt>
  </w:p>
  <w:p w14:paraId="0B6F65D0" w14:textId="77777777" w:rsidR="00BF5E21" w:rsidRDefault="00BF5E21" w:rsidP="005C331D">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65D1" w14:textId="3BF7D680" w:rsidR="00D71B3C" w:rsidRDefault="00927AEF">
    <w:pPr>
      <w:pStyle w:val="Topptekst"/>
    </w:pPr>
    <w:r>
      <w:rPr>
        <w:noProof/>
      </w:rPr>
      <w:pict w14:anchorId="4C282A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356687" o:spid="_x0000_s2049" type="#_x0000_t136" style="position:absolute;margin-left:0;margin-top:0;width:464.8pt;height:174.3pt;rotation:315;z-index:-251657216;mso-position-horizontal:center;mso-position-horizontal-relative:margin;mso-position-vertical:center;mso-position-vertical-relative:margin" o:allowincell="f" fillcolor="silver" stroked="f">
          <v:fill opacity=".5"/>
          <v:textpath style="font-family:&quot;Calibri&quot;;font-size:1pt" string="ACCEP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0DBB"/>
    <w:multiLevelType w:val="hybridMultilevel"/>
    <w:tmpl w:val="39E690A0"/>
    <w:lvl w:ilvl="0" w:tplc="9208C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1738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653"/>
    <w:rsid w:val="00017D1C"/>
    <w:rsid w:val="000214B0"/>
    <w:rsid w:val="0003569A"/>
    <w:rsid w:val="00037121"/>
    <w:rsid w:val="00044C71"/>
    <w:rsid w:val="00052DD9"/>
    <w:rsid w:val="00057E48"/>
    <w:rsid w:val="00066FB4"/>
    <w:rsid w:val="00072240"/>
    <w:rsid w:val="00072513"/>
    <w:rsid w:val="00076C4A"/>
    <w:rsid w:val="00086F43"/>
    <w:rsid w:val="00093F27"/>
    <w:rsid w:val="00096F6A"/>
    <w:rsid w:val="000B0F49"/>
    <w:rsid w:val="000C1313"/>
    <w:rsid w:val="000D6BDB"/>
    <w:rsid w:val="000E0558"/>
    <w:rsid w:val="000E3281"/>
    <w:rsid w:val="000E774E"/>
    <w:rsid w:val="000F1132"/>
    <w:rsid w:val="000F2A7B"/>
    <w:rsid w:val="001008F8"/>
    <w:rsid w:val="00104188"/>
    <w:rsid w:val="001077E7"/>
    <w:rsid w:val="00116A24"/>
    <w:rsid w:val="00121A14"/>
    <w:rsid w:val="00125666"/>
    <w:rsid w:val="00132EB8"/>
    <w:rsid w:val="00134A54"/>
    <w:rsid w:val="001510E0"/>
    <w:rsid w:val="00157A2D"/>
    <w:rsid w:val="00171CBC"/>
    <w:rsid w:val="00172F0F"/>
    <w:rsid w:val="00185FF2"/>
    <w:rsid w:val="00194542"/>
    <w:rsid w:val="00197C00"/>
    <w:rsid w:val="001A1B64"/>
    <w:rsid w:val="001A3504"/>
    <w:rsid w:val="001A39A5"/>
    <w:rsid w:val="001A49C0"/>
    <w:rsid w:val="001B3C7C"/>
    <w:rsid w:val="001B5A6D"/>
    <w:rsid w:val="001B627F"/>
    <w:rsid w:val="001B6429"/>
    <w:rsid w:val="001C3CBB"/>
    <w:rsid w:val="001C6431"/>
    <w:rsid w:val="001D1967"/>
    <w:rsid w:val="001D786F"/>
    <w:rsid w:val="001F44C3"/>
    <w:rsid w:val="002142D7"/>
    <w:rsid w:val="00214AB9"/>
    <w:rsid w:val="00215877"/>
    <w:rsid w:val="00223932"/>
    <w:rsid w:val="002340DF"/>
    <w:rsid w:val="00240674"/>
    <w:rsid w:val="002452FF"/>
    <w:rsid w:val="002468BD"/>
    <w:rsid w:val="002533C8"/>
    <w:rsid w:val="00256E2A"/>
    <w:rsid w:val="002575D6"/>
    <w:rsid w:val="00264AF2"/>
    <w:rsid w:val="00266796"/>
    <w:rsid w:val="00267DB0"/>
    <w:rsid w:val="002702C2"/>
    <w:rsid w:val="0028303A"/>
    <w:rsid w:val="0028392A"/>
    <w:rsid w:val="00283CF6"/>
    <w:rsid w:val="00283E0A"/>
    <w:rsid w:val="00284155"/>
    <w:rsid w:val="002917AA"/>
    <w:rsid w:val="00291E44"/>
    <w:rsid w:val="002A0E47"/>
    <w:rsid w:val="002A5CF5"/>
    <w:rsid w:val="002B5104"/>
    <w:rsid w:val="002B73C9"/>
    <w:rsid w:val="002C28A7"/>
    <w:rsid w:val="002C29A0"/>
    <w:rsid w:val="002C54A2"/>
    <w:rsid w:val="002C6C93"/>
    <w:rsid w:val="002D131A"/>
    <w:rsid w:val="002D2813"/>
    <w:rsid w:val="002F0974"/>
    <w:rsid w:val="0030050E"/>
    <w:rsid w:val="00302BD4"/>
    <w:rsid w:val="003106A1"/>
    <w:rsid w:val="00326765"/>
    <w:rsid w:val="003427E3"/>
    <w:rsid w:val="0034284D"/>
    <w:rsid w:val="003428BE"/>
    <w:rsid w:val="003518EB"/>
    <w:rsid w:val="003567C1"/>
    <w:rsid w:val="00362A44"/>
    <w:rsid w:val="00372967"/>
    <w:rsid w:val="00375D3B"/>
    <w:rsid w:val="003803C1"/>
    <w:rsid w:val="00383DA1"/>
    <w:rsid w:val="0038694A"/>
    <w:rsid w:val="003A3954"/>
    <w:rsid w:val="003A5551"/>
    <w:rsid w:val="003B2151"/>
    <w:rsid w:val="003B65DF"/>
    <w:rsid w:val="003B6677"/>
    <w:rsid w:val="003B6E91"/>
    <w:rsid w:val="003C1E0F"/>
    <w:rsid w:val="003C268E"/>
    <w:rsid w:val="003C4DF9"/>
    <w:rsid w:val="003C79B2"/>
    <w:rsid w:val="003D0CA1"/>
    <w:rsid w:val="003D296D"/>
    <w:rsid w:val="003E6941"/>
    <w:rsid w:val="003E7672"/>
    <w:rsid w:val="003F0188"/>
    <w:rsid w:val="003F055C"/>
    <w:rsid w:val="003F7FA1"/>
    <w:rsid w:val="0040094E"/>
    <w:rsid w:val="00402C34"/>
    <w:rsid w:val="00441AC4"/>
    <w:rsid w:val="004446DB"/>
    <w:rsid w:val="00453CA4"/>
    <w:rsid w:val="00455D68"/>
    <w:rsid w:val="00460565"/>
    <w:rsid w:val="00462CA1"/>
    <w:rsid w:val="00465D23"/>
    <w:rsid w:val="004676D8"/>
    <w:rsid w:val="00472F19"/>
    <w:rsid w:val="00476052"/>
    <w:rsid w:val="0047622E"/>
    <w:rsid w:val="00482C7F"/>
    <w:rsid w:val="00496A4F"/>
    <w:rsid w:val="004B0D9E"/>
    <w:rsid w:val="004B1E81"/>
    <w:rsid w:val="004B308A"/>
    <w:rsid w:val="004B3D02"/>
    <w:rsid w:val="004B3F6C"/>
    <w:rsid w:val="004C0721"/>
    <w:rsid w:val="004D4821"/>
    <w:rsid w:val="004E0DF0"/>
    <w:rsid w:val="004E1BF1"/>
    <w:rsid w:val="004E686B"/>
    <w:rsid w:val="004E68D9"/>
    <w:rsid w:val="004F473D"/>
    <w:rsid w:val="004F7A81"/>
    <w:rsid w:val="00500DC3"/>
    <w:rsid w:val="0050240C"/>
    <w:rsid w:val="00502C4B"/>
    <w:rsid w:val="005043A3"/>
    <w:rsid w:val="00504F76"/>
    <w:rsid w:val="005107C7"/>
    <w:rsid w:val="00511E38"/>
    <w:rsid w:val="005170BD"/>
    <w:rsid w:val="00540868"/>
    <w:rsid w:val="005474C3"/>
    <w:rsid w:val="00556569"/>
    <w:rsid w:val="00565545"/>
    <w:rsid w:val="00567F3B"/>
    <w:rsid w:val="005710E8"/>
    <w:rsid w:val="005863FB"/>
    <w:rsid w:val="00587DB5"/>
    <w:rsid w:val="00590626"/>
    <w:rsid w:val="00594AD9"/>
    <w:rsid w:val="005A16B3"/>
    <w:rsid w:val="005A189E"/>
    <w:rsid w:val="005A1D88"/>
    <w:rsid w:val="005A1DEB"/>
    <w:rsid w:val="005A48D3"/>
    <w:rsid w:val="005A4B9B"/>
    <w:rsid w:val="005B1D0F"/>
    <w:rsid w:val="005B2854"/>
    <w:rsid w:val="005C0AE3"/>
    <w:rsid w:val="005C16BB"/>
    <w:rsid w:val="005C331D"/>
    <w:rsid w:val="005C3900"/>
    <w:rsid w:val="005D5804"/>
    <w:rsid w:val="005D7930"/>
    <w:rsid w:val="005F4E7F"/>
    <w:rsid w:val="0060221E"/>
    <w:rsid w:val="006062DA"/>
    <w:rsid w:val="00607DA2"/>
    <w:rsid w:val="006114B7"/>
    <w:rsid w:val="00614203"/>
    <w:rsid w:val="00621B98"/>
    <w:rsid w:val="00626754"/>
    <w:rsid w:val="00630939"/>
    <w:rsid w:val="0063495B"/>
    <w:rsid w:val="00636725"/>
    <w:rsid w:val="00642238"/>
    <w:rsid w:val="0064693D"/>
    <w:rsid w:val="00660610"/>
    <w:rsid w:val="00670EBF"/>
    <w:rsid w:val="0067101D"/>
    <w:rsid w:val="00690DED"/>
    <w:rsid w:val="00691320"/>
    <w:rsid w:val="00693CA1"/>
    <w:rsid w:val="00696DE0"/>
    <w:rsid w:val="006A1980"/>
    <w:rsid w:val="006A2991"/>
    <w:rsid w:val="006B349B"/>
    <w:rsid w:val="006C1441"/>
    <w:rsid w:val="006C7289"/>
    <w:rsid w:val="006C7BCD"/>
    <w:rsid w:val="006F0790"/>
    <w:rsid w:val="00700986"/>
    <w:rsid w:val="007020A9"/>
    <w:rsid w:val="00703D3C"/>
    <w:rsid w:val="00722971"/>
    <w:rsid w:val="00724860"/>
    <w:rsid w:val="007303AA"/>
    <w:rsid w:val="0074075E"/>
    <w:rsid w:val="00741828"/>
    <w:rsid w:val="00741BCF"/>
    <w:rsid w:val="00765689"/>
    <w:rsid w:val="007660A3"/>
    <w:rsid w:val="00770F30"/>
    <w:rsid w:val="00775502"/>
    <w:rsid w:val="007776C0"/>
    <w:rsid w:val="0078167A"/>
    <w:rsid w:val="0078222C"/>
    <w:rsid w:val="007822BA"/>
    <w:rsid w:val="00784A1C"/>
    <w:rsid w:val="00785B24"/>
    <w:rsid w:val="007969BE"/>
    <w:rsid w:val="007A1775"/>
    <w:rsid w:val="007A2ED5"/>
    <w:rsid w:val="007A34C0"/>
    <w:rsid w:val="007A4AB5"/>
    <w:rsid w:val="007A6661"/>
    <w:rsid w:val="007B0E3B"/>
    <w:rsid w:val="007B1377"/>
    <w:rsid w:val="007C2F82"/>
    <w:rsid w:val="007C5975"/>
    <w:rsid w:val="007D1AFC"/>
    <w:rsid w:val="007D6363"/>
    <w:rsid w:val="007E40A0"/>
    <w:rsid w:val="007E435D"/>
    <w:rsid w:val="007E46D0"/>
    <w:rsid w:val="007E5C60"/>
    <w:rsid w:val="007E6EE6"/>
    <w:rsid w:val="007F19BB"/>
    <w:rsid w:val="007F3B92"/>
    <w:rsid w:val="007F78BA"/>
    <w:rsid w:val="00807B3D"/>
    <w:rsid w:val="00813252"/>
    <w:rsid w:val="00815745"/>
    <w:rsid w:val="008227AA"/>
    <w:rsid w:val="00836C6D"/>
    <w:rsid w:val="0083703F"/>
    <w:rsid w:val="00840221"/>
    <w:rsid w:val="00843EC7"/>
    <w:rsid w:val="00845E51"/>
    <w:rsid w:val="008463A0"/>
    <w:rsid w:val="00846E15"/>
    <w:rsid w:val="00846E73"/>
    <w:rsid w:val="008474D6"/>
    <w:rsid w:val="00855015"/>
    <w:rsid w:val="00856ED1"/>
    <w:rsid w:val="00861C28"/>
    <w:rsid w:val="00861E9F"/>
    <w:rsid w:val="0086268D"/>
    <w:rsid w:val="00872460"/>
    <w:rsid w:val="00877CC7"/>
    <w:rsid w:val="00890551"/>
    <w:rsid w:val="00894E0E"/>
    <w:rsid w:val="008955BA"/>
    <w:rsid w:val="008A5085"/>
    <w:rsid w:val="008A7703"/>
    <w:rsid w:val="008B3370"/>
    <w:rsid w:val="008B683B"/>
    <w:rsid w:val="00902162"/>
    <w:rsid w:val="0090258E"/>
    <w:rsid w:val="0092027D"/>
    <w:rsid w:val="00927AEF"/>
    <w:rsid w:val="0093332A"/>
    <w:rsid w:val="00936CE0"/>
    <w:rsid w:val="00940E7D"/>
    <w:rsid w:val="009477F3"/>
    <w:rsid w:val="009512E5"/>
    <w:rsid w:val="00952214"/>
    <w:rsid w:val="00956025"/>
    <w:rsid w:val="00964593"/>
    <w:rsid w:val="00980A46"/>
    <w:rsid w:val="00981927"/>
    <w:rsid w:val="00982C13"/>
    <w:rsid w:val="009842AB"/>
    <w:rsid w:val="00994652"/>
    <w:rsid w:val="00995AB9"/>
    <w:rsid w:val="009970B9"/>
    <w:rsid w:val="009A21EE"/>
    <w:rsid w:val="009A2C30"/>
    <w:rsid w:val="009A3117"/>
    <w:rsid w:val="009A326E"/>
    <w:rsid w:val="009B7F0A"/>
    <w:rsid w:val="009C0BD0"/>
    <w:rsid w:val="009C1EB6"/>
    <w:rsid w:val="009C5F0B"/>
    <w:rsid w:val="009D06D6"/>
    <w:rsid w:val="009D2513"/>
    <w:rsid w:val="009F42CE"/>
    <w:rsid w:val="009F575B"/>
    <w:rsid w:val="00A02CFB"/>
    <w:rsid w:val="00A02F1A"/>
    <w:rsid w:val="00A04C22"/>
    <w:rsid w:val="00A06861"/>
    <w:rsid w:val="00A1425B"/>
    <w:rsid w:val="00A22B1F"/>
    <w:rsid w:val="00A31618"/>
    <w:rsid w:val="00A3264C"/>
    <w:rsid w:val="00A3288F"/>
    <w:rsid w:val="00A3505C"/>
    <w:rsid w:val="00A501AF"/>
    <w:rsid w:val="00A55051"/>
    <w:rsid w:val="00A5558D"/>
    <w:rsid w:val="00A56AD3"/>
    <w:rsid w:val="00A613FA"/>
    <w:rsid w:val="00A63361"/>
    <w:rsid w:val="00A66150"/>
    <w:rsid w:val="00A66735"/>
    <w:rsid w:val="00A66AEC"/>
    <w:rsid w:val="00A73CC3"/>
    <w:rsid w:val="00A73CE5"/>
    <w:rsid w:val="00A74F70"/>
    <w:rsid w:val="00A760F8"/>
    <w:rsid w:val="00A83594"/>
    <w:rsid w:val="00A9056D"/>
    <w:rsid w:val="00A90D60"/>
    <w:rsid w:val="00A953BC"/>
    <w:rsid w:val="00AA57F3"/>
    <w:rsid w:val="00AB3DC2"/>
    <w:rsid w:val="00AC2D5D"/>
    <w:rsid w:val="00AC789C"/>
    <w:rsid w:val="00AD7AD8"/>
    <w:rsid w:val="00AD7F5D"/>
    <w:rsid w:val="00AF22EE"/>
    <w:rsid w:val="00AF3163"/>
    <w:rsid w:val="00AF41EA"/>
    <w:rsid w:val="00B0512A"/>
    <w:rsid w:val="00B103AB"/>
    <w:rsid w:val="00B10A68"/>
    <w:rsid w:val="00B10BBA"/>
    <w:rsid w:val="00B12957"/>
    <w:rsid w:val="00B141C4"/>
    <w:rsid w:val="00B20D47"/>
    <w:rsid w:val="00B213F1"/>
    <w:rsid w:val="00B25720"/>
    <w:rsid w:val="00B257F0"/>
    <w:rsid w:val="00B30465"/>
    <w:rsid w:val="00B44C0D"/>
    <w:rsid w:val="00B45865"/>
    <w:rsid w:val="00B50A96"/>
    <w:rsid w:val="00B513DB"/>
    <w:rsid w:val="00B518BF"/>
    <w:rsid w:val="00B5543E"/>
    <w:rsid w:val="00B56E98"/>
    <w:rsid w:val="00B61621"/>
    <w:rsid w:val="00B617AA"/>
    <w:rsid w:val="00B67190"/>
    <w:rsid w:val="00B67E23"/>
    <w:rsid w:val="00B766F2"/>
    <w:rsid w:val="00B76DC5"/>
    <w:rsid w:val="00B82D4C"/>
    <w:rsid w:val="00B91B52"/>
    <w:rsid w:val="00BA0FB3"/>
    <w:rsid w:val="00BA22EF"/>
    <w:rsid w:val="00BA5653"/>
    <w:rsid w:val="00BA7727"/>
    <w:rsid w:val="00BB3CE1"/>
    <w:rsid w:val="00BB5508"/>
    <w:rsid w:val="00BC00B5"/>
    <w:rsid w:val="00BC1E36"/>
    <w:rsid w:val="00BC74F8"/>
    <w:rsid w:val="00BC7A0D"/>
    <w:rsid w:val="00BD10D2"/>
    <w:rsid w:val="00BD383C"/>
    <w:rsid w:val="00BD62C9"/>
    <w:rsid w:val="00BE0D79"/>
    <w:rsid w:val="00BE5F0A"/>
    <w:rsid w:val="00BE6BCF"/>
    <w:rsid w:val="00BF2F3B"/>
    <w:rsid w:val="00BF5C44"/>
    <w:rsid w:val="00BF5E21"/>
    <w:rsid w:val="00C0612F"/>
    <w:rsid w:val="00C156CB"/>
    <w:rsid w:val="00C15F92"/>
    <w:rsid w:val="00C20830"/>
    <w:rsid w:val="00C2509E"/>
    <w:rsid w:val="00C26CC6"/>
    <w:rsid w:val="00C368B2"/>
    <w:rsid w:val="00C4250D"/>
    <w:rsid w:val="00C4528E"/>
    <w:rsid w:val="00C46648"/>
    <w:rsid w:val="00C46E22"/>
    <w:rsid w:val="00C5118C"/>
    <w:rsid w:val="00C56A3A"/>
    <w:rsid w:val="00C57843"/>
    <w:rsid w:val="00C6443C"/>
    <w:rsid w:val="00C70174"/>
    <w:rsid w:val="00C71579"/>
    <w:rsid w:val="00C742A0"/>
    <w:rsid w:val="00C74339"/>
    <w:rsid w:val="00C82DB4"/>
    <w:rsid w:val="00C85039"/>
    <w:rsid w:val="00C87FE8"/>
    <w:rsid w:val="00C96C58"/>
    <w:rsid w:val="00CA0145"/>
    <w:rsid w:val="00CA239C"/>
    <w:rsid w:val="00CA41BD"/>
    <w:rsid w:val="00CB233C"/>
    <w:rsid w:val="00CB2E5B"/>
    <w:rsid w:val="00CB3975"/>
    <w:rsid w:val="00CB695A"/>
    <w:rsid w:val="00CC298A"/>
    <w:rsid w:val="00CC4986"/>
    <w:rsid w:val="00CC742A"/>
    <w:rsid w:val="00CD0D28"/>
    <w:rsid w:val="00CD3ACD"/>
    <w:rsid w:val="00D12198"/>
    <w:rsid w:val="00D16D9E"/>
    <w:rsid w:val="00D27CC1"/>
    <w:rsid w:val="00D34687"/>
    <w:rsid w:val="00D35214"/>
    <w:rsid w:val="00D37C73"/>
    <w:rsid w:val="00D37C7A"/>
    <w:rsid w:val="00D41062"/>
    <w:rsid w:val="00D44A34"/>
    <w:rsid w:val="00D71B3C"/>
    <w:rsid w:val="00D72E56"/>
    <w:rsid w:val="00D74706"/>
    <w:rsid w:val="00D74838"/>
    <w:rsid w:val="00D75DCB"/>
    <w:rsid w:val="00D83CE5"/>
    <w:rsid w:val="00D85053"/>
    <w:rsid w:val="00D853DD"/>
    <w:rsid w:val="00D87C12"/>
    <w:rsid w:val="00D91529"/>
    <w:rsid w:val="00D9422D"/>
    <w:rsid w:val="00D95743"/>
    <w:rsid w:val="00D9647A"/>
    <w:rsid w:val="00DC2262"/>
    <w:rsid w:val="00DC724C"/>
    <w:rsid w:val="00DC780E"/>
    <w:rsid w:val="00DE2C5F"/>
    <w:rsid w:val="00DF1366"/>
    <w:rsid w:val="00E0396F"/>
    <w:rsid w:val="00E0687B"/>
    <w:rsid w:val="00E06FD0"/>
    <w:rsid w:val="00E12F53"/>
    <w:rsid w:val="00E17437"/>
    <w:rsid w:val="00E21A2F"/>
    <w:rsid w:val="00E21ACD"/>
    <w:rsid w:val="00E235BC"/>
    <w:rsid w:val="00E24910"/>
    <w:rsid w:val="00E3383A"/>
    <w:rsid w:val="00E34075"/>
    <w:rsid w:val="00E35277"/>
    <w:rsid w:val="00E42CD5"/>
    <w:rsid w:val="00E43C55"/>
    <w:rsid w:val="00E53313"/>
    <w:rsid w:val="00E66CFF"/>
    <w:rsid w:val="00E76EE5"/>
    <w:rsid w:val="00E82DB0"/>
    <w:rsid w:val="00E84238"/>
    <w:rsid w:val="00E93EC1"/>
    <w:rsid w:val="00E95790"/>
    <w:rsid w:val="00EA6921"/>
    <w:rsid w:val="00EB07B3"/>
    <w:rsid w:val="00EB5A6D"/>
    <w:rsid w:val="00EC578D"/>
    <w:rsid w:val="00ED3CDF"/>
    <w:rsid w:val="00EE3CCF"/>
    <w:rsid w:val="00EE7439"/>
    <w:rsid w:val="00EF0860"/>
    <w:rsid w:val="00EF2B47"/>
    <w:rsid w:val="00F04136"/>
    <w:rsid w:val="00F10536"/>
    <w:rsid w:val="00F119D4"/>
    <w:rsid w:val="00F13629"/>
    <w:rsid w:val="00F13681"/>
    <w:rsid w:val="00F13F61"/>
    <w:rsid w:val="00F15D9C"/>
    <w:rsid w:val="00F27F53"/>
    <w:rsid w:val="00F33597"/>
    <w:rsid w:val="00F41471"/>
    <w:rsid w:val="00F44755"/>
    <w:rsid w:val="00F53CD0"/>
    <w:rsid w:val="00F55F24"/>
    <w:rsid w:val="00F569D8"/>
    <w:rsid w:val="00F606B5"/>
    <w:rsid w:val="00F618D9"/>
    <w:rsid w:val="00F6307A"/>
    <w:rsid w:val="00F82772"/>
    <w:rsid w:val="00F83209"/>
    <w:rsid w:val="00F83B62"/>
    <w:rsid w:val="00F93F68"/>
    <w:rsid w:val="00F958CF"/>
    <w:rsid w:val="00F960A2"/>
    <w:rsid w:val="00FA765C"/>
    <w:rsid w:val="00FB4474"/>
    <w:rsid w:val="00FC7040"/>
    <w:rsid w:val="00FD1C34"/>
    <w:rsid w:val="00FD2706"/>
    <w:rsid w:val="00FD34CB"/>
    <w:rsid w:val="00FE2A67"/>
    <w:rsid w:val="00FE7877"/>
    <w:rsid w:val="00FF15F1"/>
    <w:rsid w:val="00FF3C07"/>
    <w:rsid w:val="00FF467E"/>
    <w:rsid w:val="00FF78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385222"/>
  <w15:chartTrackingRefBased/>
  <w15:docId w15:val="{37429960-3F07-5144-AA70-51D398AB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Overskrift1">
    <w:name w:val="heading 1"/>
    <w:basedOn w:val="Normal"/>
    <w:next w:val="Normal"/>
    <w:link w:val="Overskrift1Tegn"/>
    <w:uiPriority w:val="9"/>
    <w:qFormat/>
    <w:rsid w:val="00372967"/>
    <w:pPr>
      <w:keepNext/>
      <w:keepLines/>
      <w:spacing w:before="240"/>
      <w:outlineLvl w:val="0"/>
    </w:pPr>
    <w:rPr>
      <w:rFonts w:ascii="Times New Roman" w:eastAsiaTheme="majorEastAsia" w:hAnsi="Times New Roman" w:cstheme="majorBidi"/>
      <w:b/>
      <w:color w:val="000000" w:themeColor="text1"/>
      <w:szCs w:val="32"/>
    </w:rPr>
  </w:style>
  <w:style w:type="paragraph" w:styleId="Overskrift2">
    <w:name w:val="heading 2"/>
    <w:basedOn w:val="Normal"/>
    <w:next w:val="Normal"/>
    <w:link w:val="Overskrift2Tegn"/>
    <w:uiPriority w:val="9"/>
    <w:unhideWhenUsed/>
    <w:qFormat/>
    <w:rsid w:val="00B76DC5"/>
    <w:pPr>
      <w:keepNext/>
      <w:keepLines/>
      <w:spacing w:before="40"/>
      <w:outlineLvl w:val="1"/>
    </w:pPr>
    <w:rPr>
      <w:rFonts w:ascii="Times New Roman" w:eastAsiaTheme="majorEastAsia" w:hAnsi="Times New Roman" w:cstheme="majorBidi"/>
      <w:b/>
      <w:i/>
      <w:color w:val="000000" w:themeColor="text1"/>
      <w:szCs w:val="26"/>
    </w:rPr>
  </w:style>
  <w:style w:type="paragraph" w:styleId="Overskrift3">
    <w:name w:val="heading 3"/>
    <w:basedOn w:val="Normal"/>
    <w:next w:val="Normal"/>
    <w:link w:val="Overskrift3Tegn"/>
    <w:uiPriority w:val="9"/>
    <w:unhideWhenUsed/>
    <w:qFormat/>
    <w:rsid w:val="00B76DC5"/>
    <w:pPr>
      <w:keepNext/>
      <w:keepLines/>
      <w:spacing w:before="40"/>
      <w:outlineLvl w:val="2"/>
    </w:pPr>
    <w:rPr>
      <w:rFonts w:ascii="Times New Roman" w:eastAsiaTheme="majorEastAsia" w:hAnsi="Times New Roman" w:cstheme="majorBidi"/>
      <w:i/>
      <w:color w:val="000000"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43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66150"/>
    <w:pPr>
      <w:ind w:left="720"/>
      <w:contextualSpacing/>
    </w:pPr>
  </w:style>
  <w:style w:type="paragraph" w:styleId="Bibliografi">
    <w:name w:val="Bibliography"/>
    <w:basedOn w:val="Normal"/>
    <w:next w:val="Normal"/>
    <w:uiPriority w:val="37"/>
    <w:unhideWhenUsed/>
    <w:rsid w:val="00E21A2F"/>
    <w:pPr>
      <w:spacing w:line="480" w:lineRule="auto"/>
      <w:ind w:left="720" w:hanging="720"/>
    </w:pPr>
  </w:style>
  <w:style w:type="character" w:styleId="Svakutheving">
    <w:name w:val="Subtle Emphasis"/>
    <w:basedOn w:val="Standardskriftforavsnitt"/>
    <w:uiPriority w:val="19"/>
    <w:qFormat/>
    <w:rsid w:val="00B76DC5"/>
    <w:rPr>
      <w:i/>
      <w:iCs/>
      <w:color w:val="404040" w:themeColor="text1" w:themeTint="BF"/>
    </w:rPr>
  </w:style>
  <w:style w:type="character" w:customStyle="1" w:styleId="Overskrift1Tegn">
    <w:name w:val="Overskrift 1 Tegn"/>
    <w:basedOn w:val="Standardskriftforavsnitt"/>
    <w:link w:val="Overskrift1"/>
    <w:uiPriority w:val="9"/>
    <w:rsid w:val="00372967"/>
    <w:rPr>
      <w:rFonts w:ascii="Times New Roman" w:eastAsiaTheme="majorEastAsia" w:hAnsi="Times New Roman" w:cstheme="majorBidi"/>
      <w:b/>
      <w:color w:val="000000" w:themeColor="text1"/>
      <w:szCs w:val="32"/>
      <w:lang w:val="en-US"/>
    </w:rPr>
  </w:style>
  <w:style w:type="character" w:customStyle="1" w:styleId="Overskrift2Tegn">
    <w:name w:val="Overskrift 2 Tegn"/>
    <w:basedOn w:val="Standardskriftforavsnitt"/>
    <w:link w:val="Overskrift2"/>
    <w:uiPriority w:val="9"/>
    <w:rsid w:val="00B76DC5"/>
    <w:rPr>
      <w:rFonts w:ascii="Times New Roman" w:eastAsiaTheme="majorEastAsia" w:hAnsi="Times New Roman" w:cstheme="majorBidi"/>
      <w:b/>
      <w:i/>
      <w:color w:val="000000" w:themeColor="text1"/>
      <w:szCs w:val="26"/>
      <w:lang w:val="en-US"/>
    </w:rPr>
  </w:style>
  <w:style w:type="character" w:customStyle="1" w:styleId="Overskrift3Tegn">
    <w:name w:val="Overskrift 3 Tegn"/>
    <w:basedOn w:val="Standardskriftforavsnitt"/>
    <w:link w:val="Overskrift3"/>
    <w:uiPriority w:val="9"/>
    <w:rsid w:val="00B76DC5"/>
    <w:rPr>
      <w:rFonts w:ascii="Times New Roman" w:eastAsiaTheme="majorEastAsia" w:hAnsi="Times New Roman" w:cstheme="majorBidi"/>
      <w:i/>
      <w:color w:val="000000" w:themeColor="text1"/>
      <w:lang w:val="en-US"/>
    </w:rPr>
  </w:style>
  <w:style w:type="character" w:styleId="Merknadsreferanse">
    <w:name w:val="annotation reference"/>
    <w:basedOn w:val="Standardskriftforavsnitt"/>
    <w:uiPriority w:val="99"/>
    <w:semiHidden/>
    <w:unhideWhenUsed/>
    <w:rsid w:val="00BA7727"/>
    <w:rPr>
      <w:sz w:val="16"/>
      <w:szCs w:val="16"/>
    </w:rPr>
  </w:style>
  <w:style w:type="paragraph" w:styleId="Merknadstekst">
    <w:name w:val="annotation text"/>
    <w:basedOn w:val="Normal"/>
    <w:link w:val="MerknadstekstTegn"/>
    <w:uiPriority w:val="99"/>
    <w:semiHidden/>
    <w:unhideWhenUsed/>
    <w:rsid w:val="00BA7727"/>
    <w:rPr>
      <w:sz w:val="20"/>
      <w:szCs w:val="20"/>
    </w:rPr>
  </w:style>
  <w:style w:type="character" w:customStyle="1" w:styleId="MerknadstekstTegn">
    <w:name w:val="Merknadstekst Tegn"/>
    <w:basedOn w:val="Standardskriftforavsnitt"/>
    <w:link w:val="Merknadstekst"/>
    <w:uiPriority w:val="99"/>
    <w:semiHidden/>
    <w:rsid w:val="00BA7727"/>
    <w:rPr>
      <w:sz w:val="20"/>
      <w:szCs w:val="20"/>
      <w:lang w:val="en-US"/>
    </w:rPr>
  </w:style>
  <w:style w:type="paragraph" w:styleId="Kommentaremne">
    <w:name w:val="annotation subject"/>
    <w:basedOn w:val="Merknadstekst"/>
    <w:next w:val="Merknadstekst"/>
    <w:link w:val="KommentaremneTegn"/>
    <w:uiPriority w:val="99"/>
    <w:semiHidden/>
    <w:unhideWhenUsed/>
    <w:rsid w:val="00BA7727"/>
    <w:rPr>
      <w:b/>
      <w:bCs/>
    </w:rPr>
  </w:style>
  <w:style w:type="character" w:customStyle="1" w:styleId="KommentaremneTegn">
    <w:name w:val="Kommentaremne Tegn"/>
    <w:basedOn w:val="MerknadstekstTegn"/>
    <w:link w:val="Kommentaremne"/>
    <w:uiPriority w:val="99"/>
    <w:semiHidden/>
    <w:rsid w:val="00BA7727"/>
    <w:rPr>
      <w:b/>
      <w:bCs/>
      <w:sz w:val="20"/>
      <w:szCs w:val="20"/>
      <w:lang w:val="en-US"/>
    </w:rPr>
  </w:style>
  <w:style w:type="paragraph" w:styleId="Bobletekst">
    <w:name w:val="Balloon Text"/>
    <w:basedOn w:val="Normal"/>
    <w:link w:val="BobletekstTegn"/>
    <w:uiPriority w:val="99"/>
    <w:semiHidden/>
    <w:unhideWhenUsed/>
    <w:rsid w:val="00BA772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A7727"/>
    <w:rPr>
      <w:rFonts w:ascii="Segoe UI" w:hAnsi="Segoe UI" w:cs="Segoe UI"/>
      <w:sz w:val="18"/>
      <w:szCs w:val="18"/>
      <w:lang w:val="en-US"/>
    </w:rPr>
  </w:style>
  <w:style w:type="character" w:styleId="Hyperkobling">
    <w:name w:val="Hyperlink"/>
    <w:basedOn w:val="Standardskriftforavsnitt"/>
    <w:uiPriority w:val="99"/>
    <w:unhideWhenUsed/>
    <w:rsid w:val="00116A24"/>
    <w:rPr>
      <w:color w:val="0563C1" w:themeColor="hyperlink"/>
      <w:u w:val="single"/>
    </w:rPr>
  </w:style>
  <w:style w:type="character" w:customStyle="1" w:styleId="UnresolvedMention1">
    <w:name w:val="Unresolved Mention1"/>
    <w:basedOn w:val="Standardskriftforavsnitt"/>
    <w:uiPriority w:val="99"/>
    <w:semiHidden/>
    <w:unhideWhenUsed/>
    <w:rsid w:val="00116A24"/>
    <w:rPr>
      <w:color w:val="605E5C"/>
      <w:shd w:val="clear" w:color="auto" w:fill="E1DFDD"/>
    </w:rPr>
  </w:style>
  <w:style w:type="character" w:styleId="Sterk">
    <w:name w:val="Strong"/>
    <w:basedOn w:val="Standardskriftforavsnitt"/>
    <w:uiPriority w:val="22"/>
    <w:qFormat/>
    <w:rsid w:val="004E1BF1"/>
    <w:rPr>
      <w:b/>
      <w:bCs/>
    </w:rPr>
  </w:style>
  <w:style w:type="paragraph" w:customStyle="1" w:styleId="Body">
    <w:name w:val="Body"/>
    <w:rsid w:val="00CB3975"/>
    <w:pPr>
      <w:pBdr>
        <w:top w:val="nil"/>
        <w:left w:val="nil"/>
        <w:bottom w:val="nil"/>
        <w:right w:val="nil"/>
        <w:between w:val="nil"/>
        <w:bar w:val="nil"/>
      </w:pBdr>
      <w:spacing w:before="160"/>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character" w:customStyle="1" w:styleId="None">
    <w:name w:val="None"/>
    <w:rsid w:val="00CB3975"/>
  </w:style>
  <w:style w:type="character" w:customStyle="1" w:styleId="Hyperlink1">
    <w:name w:val="Hyperlink.1"/>
    <w:basedOn w:val="Hyperkobling"/>
    <w:rsid w:val="00CB3975"/>
    <w:rPr>
      <w:color w:val="0563C1" w:themeColor="hyperlink"/>
      <w:u w:val="single"/>
    </w:rPr>
  </w:style>
  <w:style w:type="character" w:styleId="Fulgthyperkobling">
    <w:name w:val="FollowedHyperlink"/>
    <w:basedOn w:val="Standardskriftforavsnitt"/>
    <w:uiPriority w:val="99"/>
    <w:semiHidden/>
    <w:unhideWhenUsed/>
    <w:rsid w:val="00EB5A6D"/>
    <w:rPr>
      <w:color w:val="954F72" w:themeColor="followedHyperlink"/>
      <w:u w:val="single"/>
    </w:rPr>
  </w:style>
  <w:style w:type="paragraph" w:styleId="Topptekst">
    <w:name w:val="header"/>
    <w:basedOn w:val="Normal"/>
    <w:link w:val="TopptekstTegn"/>
    <w:uiPriority w:val="99"/>
    <w:unhideWhenUsed/>
    <w:rsid w:val="005C331D"/>
    <w:pPr>
      <w:tabs>
        <w:tab w:val="center" w:pos="4680"/>
        <w:tab w:val="right" w:pos="9360"/>
      </w:tabs>
    </w:pPr>
  </w:style>
  <w:style w:type="character" w:customStyle="1" w:styleId="TopptekstTegn">
    <w:name w:val="Topptekst Tegn"/>
    <w:basedOn w:val="Standardskriftforavsnitt"/>
    <w:link w:val="Topptekst"/>
    <w:uiPriority w:val="99"/>
    <w:rsid w:val="005C331D"/>
    <w:rPr>
      <w:lang w:val="en-US"/>
    </w:rPr>
  </w:style>
  <w:style w:type="character" w:styleId="Sidetall">
    <w:name w:val="page number"/>
    <w:basedOn w:val="Standardskriftforavsnitt"/>
    <w:uiPriority w:val="99"/>
    <w:semiHidden/>
    <w:unhideWhenUsed/>
    <w:rsid w:val="005C331D"/>
  </w:style>
  <w:style w:type="paragraph" w:styleId="Bunntekst">
    <w:name w:val="footer"/>
    <w:basedOn w:val="Normal"/>
    <w:link w:val="BunntekstTegn"/>
    <w:uiPriority w:val="99"/>
    <w:unhideWhenUsed/>
    <w:rsid w:val="00D71B3C"/>
    <w:pPr>
      <w:tabs>
        <w:tab w:val="center" w:pos="4536"/>
        <w:tab w:val="right" w:pos="9072"/>
      </w:tabs>
    </w:pPr>
  </w:style>
  <w:style w:type="character" w:customStyle="1" w:styleId="BunntekstTegn">
    <w:name w:val="Bunntekst Tegn"/>
    <w:basedOn w:val="Standardskriftforavsnitt"/>
    <w:link w:val="Bunntekst"/>
    <w:uiPriority w:val="99"/>
    <w:rsid w:val="00D71B3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21660">
      <w:bodyDiv w:val="1"/>
      <w:marLeft w:val="0"/>
      <w:marRight w:val="0"/>
      <w:marTop w:val="0"/>
      <w:marBottom w:val="0"/>
      <w:divBdr>
        <w:top w:val="none" w:sz="0" w:space="0" w:color="auto"/>
        <w:left w:val="none" w:sz="0" w:space="0" w:color="auto"/>
        <w:bottom w:val="none" w:sz="0" w:space="0" w:color="auto"/>
        <w:right w:val="none" w:sz="0" w:space="0" w:color="auto"/>
      </w:divBdr>
      <w:divsChild>
        <w:div w:id="732771522">
          <w:marLeft w:val="0"/>
          <w:marRight w:val="0"/>
          <w:marTop w:val="0"/>
          <w:marBottom w:val="0"/>
          <w:divBdr>
            <w:top w:val="none" w:sz="0" w:space="0" w:color="auto"/>
            <w:left w:val="none" w:sz="0" w:space="0" w:color="auto"/>
            <w:bottom w:val="none" w:sz="0" w:space="0" w:color="auto"/>
            <w:right w:val="none" w:sz="0" w:space="0" w:color="auto"/>
          </w:divBdr>
          <w:divsChild>
            <w:div w:id="818039844">
              <w:marLeft w:val="0"/>
              <w:marRight w:val="0"/>
              <w:marTop w:val="0"/>
              <w:marBottom w:val="0"/>
              <w:divBdr>
                <w:top w:val="none" w:sz="0" w:space="0" w:color="auto"/>
                <w:left w:val="none" w:sz="0" w:space="0" w:color="auto"/>
                <w:bottom w:val="none" w:sz="0" w:space="0" w:color="auto"/>
                <w:right w:val="none" w:sz="0" w:space="0" w:color="auto"/>
              </w:divBdr>
              <w:divsChild>
                <w:div w:id="9219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331265">
      <w:bodyDiv w:val="1"/>
      <w:marLeft w:val="0"/>
      <w:marRight w:val="0"/>
      <w:marTop w:val="0"/>
      <w:marBottom w:val="0"/>
      <w:divBdr>
        <w:top w:val="none" w:sz="0" w:space="0" w:color="auto"/>
        <w:left w:val="none" w:sz="0" w:space="0" w:color="auto"/>
        <w:bottom w:val="none" w:sz="0" w:space="0" w:color="auto"/>
        <w:right w:val="none" w:sz="0" w:space="0" w:color="auto"/>
      </w:divBdr>
      <w:divsChild>
        <w:div w:id="1545870955">
          <w:marLeft w:val="0"/>
          <w:marRight w:val="0"/>
          <w:marTop w:val="0"/>
          <w:marBottom w:val="0"/>
          <w:divBdr>
            <w:top w:val="none" w:sz="0" w:space="0" w:color="auto"/>
            <w:left w:val="none" w:sz="0" w:space="0" w:color="auto"/>
            <w:bottom w:val="none" w:sz="0" w:space="0" w:color="auto"/>
            <w:right w:val="none" w:sz="0" w:space="0" w:color="auto"/>
          </w:divBdr>
          <w:divsChild>
            <w:div w:id="1314724601">
              <w:marLeft w:val="0"/>
              <w:marRight w:val="0"/>
              <w:marTop w:val="0"/>
              <w:marBottom w:val="0"/>
              <w:divBdr>
                <w:top w:val="none" w:sz="0" w:space="0" w:color="auto"/>
                <w:left w:val="none" w:sz="0" w:space="0" w:color="auto"/>
                <w:bottom w:val="none" w:sz="0" w:space="0" w:color="auto"/>
                <w:right w:val="none" w:sz="0" w:space="0" w:color="auto"/>
              </w:divBdr>
              <w:divsChild>
                <w:div w:id="2135630402">
                  <w:marLeft w:val="0"/>
                  <w:marRight w:val="0"/>
                  <w:marTop w:val="0"/>
                  <w:marBottom w:val="0"/>
                  <w:divBdr>
                    <w:top w:val="none" w:sz="0" w:space="0" w:color="auto"/>
                    <w:left w:val="none" w:sz="0" w:space="0" w:color="auto"/>
                    <w:bottom w:val="none" w:sz="0" w:space="0" w:color="auto"/>
                    <w:right w:val="none" w:sz="0" w:space="0" w:color="auto"/>
                  </w:divBdr>
                  <w:divsChild>
                    <w:div w:id="3308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28907">
      <w:bodyDiv w:val="1"/>
      <w:marLeft w:val="0"/>
      <w:marRight w:val="0"/>
      <w:marTop w:val="0"/>
      <w:marBottom w:val="0"/>
      <w:divBdr>
        <w:top w:val="none" w:sz="0" w:space="0" w:color="auto"/>
        <w:left w:val="none" w:sz="0" w:space="0" w:color="auto"/>
        <w:bottom w:val="none" w:sz="0" w:space="0" w:color="auto"/>
        <w:right w:val="none" w:sz="0" w:space="0" w:color="auto"/>
      </w:divBdr>
    </w:div>
    <w:div w:id="362899978">
      <w:bodyDiv w:val="1"/>
      <w:marLeft w:val="0"/>
      <w:marRight w:val="0"/>
      <w:marTop w:val="0"/>
      <w:marBottom w:val="0"/>
      <w:divBdr>
        <w:top w:val="none" w:sz="0" w:space="0" w:color="auto"/>
        <w:left w:val="none" w:sz="0" w:space="0" w:color="auto"/>
        <w:bottom w:val="none" w:sz="0" w:space="0" w:color="auto"/>
        <w:right w:val="none" w:sz="0" w:space="0" w:color="auto"/>
      </w:divBdr>
      <w:divsChild>
        <w:div w:id="381829522">
          <w:marLeft w:val="0"/>
          <w:marRight w:val="0"/>
          <w:marTop w:val="0"/>
          <w:marBottom w:val="0"/>
          <w:divBdr>
            <w:top w:val="none" w:sz="0" w:space="0" w:color="auto"/>
            <w:left w:val="none" w:sz="0" w:space="0" w:color="auto"/>
            <w:bottom w:val="none" w:sz="0" w:space="0" w:color="auto"/>
            <w:right w:val="none" w:sz="0" w:space="0" w:color="auto"/>
          </w:divBdr>
          <w:divsChild>
            <w:div w:id="7030873">
              <w:marLeft w:val="0"/>
              <w:marRight w:val="0"/>
              <w:marTop w:val="0"/>
              <w:marBottom w:val="0"/>
              <w:divBdr>
                <w:top w:val="none" w:sz="0" w:space="0" w:color="auto"/>
                <w:left w:val="none" w:sz="0" w:space="0" w:color="auto"/>
                <w:bottom w:val="none" w:sz="0" w:space="0" w:color="auto"/>
                <w:right w:val="none" w:sz="0" w:space="0" w:color="auto"/>
              </w:divBdr>
              <w:divsChild>
                <w:div w:id="2018998694">
                  <w:marLeft w:val="0"/>
                  <w:marRight w:val="0"/>
                  <w:marTop w:val="0"/>
                  <w:marBottom w:val="0"/>
                  <w:divBdr>
                    <w:top w:val="none" w:sz="0" w:space="0" w:color="auto"/>
                    <w:left w:val="none" w:sz="0" w:space="0" w:color="auto"/>
                    <w:bottom w:val="none" w:sz="0" w:space="0" w:color="auto"/>
                    <w:right w:val="none" w:sz="0" w:space="0" w:color="auto"/>
                  </w:divBdr>
                  <w:divsChild>
                    <w:div w:id="3991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416776">
      <w:bodyDiv w:val="1"/>
      <w:marLeft w:val="0"/>
      <w:marRight w:val="0"/>
      <w:marTop w:val="0"/>
      <w:marBottom w:val="0"/>
      <w:divBdr>
        <w:top w:val="none" w:sz="0" w:space="0" w:color="auto"/>
        <w:left w:val="none" w:sz="0" w:space="0" w:color="auto"/>
        <w:bottom w:val="none" w:sz="0" w:space="0" w:color="auto"/>
        <w:right w:val="none" w:sz="0" w:space="0" w:color="auto"/>
      </w:divBdr>
      <w:divsChild>
        <w:div w:id="1344212623">
          <w:marLeft w:val="0"/>
          <w:marRight w:val="0"/>
          <w:marTop w:val="0"/>
          <w:marBottom w:val="0"/>
          <w:divBdr>
            <w:top w:val="none" w:sz="0" w:space="0" w:color="auto"/>
            <w:left w:val="none" w:sz="0" w:space="0" w:color="auto"/>
            <w:bottom w:val="none" w:sz="0" w:space="0" w:color="auto"/>
            <w:right w:val="none" w:sz="0" w:space="0" w:color="auto"/>
          </w:divBdr>
          <w:divsChild>
            <w:div w:id="270549429">
              <w:marLeft w:val="0"/>
              <w:marRight w:val="0"/>
              <w:marTop w:val="0"/>
              <w:marBottom w:val="0"/>
              <w:divBdr>
                <w:top w:val="none" w:sz="0" w:space="0" w:color="auto"/>
                <w:left w:val="none" w:sz="0" w:space="0" w:color="auto"/>
                <w:bottom w:val="none" w:sz="0" w:space="0" w:color="auto"/>
                <w:right w:val="none" w:sz="0" w:space="0" w:color="auto"/>
              </w:divBdr>
              <w:divsChild>
                <w:div w:id="1341929239">
                  <w:marLeft w:val="0"/>
                  <w:marRight w:val="0"/>
                  <w:marTop w:val="0"/>
                  <w:marBottom w:val="0"/>
                  <w:divBdr>
                    <w:top w:val="none" w:sz="0" w:space="0" w:color="auto"/>
                    <w:left w:val="none" w:sz="0" w:space="0" w:color="auto"/>
                    <w:bottom w:val="none" w:sz="0" w:space="0" w:color="auto"/>
                    <w:right w:val="none" w:sz="0" w:space="0" w:color="auto"/>
                  </w:divBdr>
                  <w:divsChild>
                    <w:div w:id="19050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249952">
      <w:bodyDiv w:val="1"/>
      <w:marLeft w:val="0"/>
      <w:marRight w:val="0"/>
      <w:marTop w:val="0"/>
      <w:marBottom w:val="0"/>
      <w:divBdr>
        <w:top w:val="none" w:sz="0" w:space="0" w:color="auto"/>
        <w:left w:val="none" w:sz="0" w:space="0" w:color="auto"/>
        <w:bottom w:val="none" w:sz="0" w:space="0" w:color="auto"/>
        <w:right w:val="none" w:sz="0" w:space="0" w:color="auto"/>
      </w:divBdr>
      <w:divsChild>
        <w:div w:id="524054123">
          <w:marLeft w:val="0"/>
          <w:marRight w:val="0"/>
          <w:marTop w:val="0"/>
          <w:marBottom w:val="0"/>
          <w:divBdr>
            <w:top w:val="none" w:sz="0" w:space="0" w:color="auto"/>
            <w:left w:val="none" w:sz="0" w:space="0" w:color="auto"/>
            <w:bottom w:val="none" w:sz="0" w:space="0" w:color="auto"/>
            <w:right w:val="none" w:sz="0" w:space="0" w:color="auto"/>
          </w:divBdr>
          <w:divsChild>
            <w:div w:id="1874148677">
              <w:marLeft w:val="0"/>
              <w:marRight w:val="0"/>
              <w:marTop w:val="0"/>
              <w:marBottom w:val="0"/>
              <w:divBdr>
                <w:top w:val="none" w:sz="0" w:space="0" w:color="auto"/>
                <w:left w:val="none" w:sz="0" w:space="0" w:color="auto"/>
                <w:bottom w:val="none" w:sz="0" w:space="0" w:color="auto"/>
                <w:right w:val="none" w:sz="0" w:space="0" w:color="auto"/>
              </w:divBdr>
              <w:divsChild>
                <w:div w:id="18252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99298">
      <w:bodyDiv w:val="1"/>
      <w:marLeft w:val="0"/>
      <w:marRight w:val="0"/>
      <w:marTop w:val="0"/>
      <w:marBottom w:val="0"/>
      <w:divBdr>
        <w:top w:val="none" w:sz="0" w:space="0" w:color="auto"/>
        <w:left w:val="none" w:sz="0" w:space="0" w:color="auto"/>
        <w:bottom w:val="none" w:sz="0" w:space="0" w:color="auto"/>
        <w:right w:val="none" w:sz="0" w:space="0" w:color="auto"/>
      </w:divBdr>
      <w:divsChild>
        <w:div w:id="1160119307">
          <w:marLeft w:val="0"/>
          <w:marRight w:val="0"/>
          <w:marTop w:val="0"/>
          <w:marBottom w:val="0"/>
          <w:divBdr>
            <w:top w:val="none" w:sz="0" w:space="0" w:color="auto"/>
            <w:left w:val="none" w:sz="0" w:space="0" w:color="auto"/>
            <w:bottom w:val="none" w:sz="0" w:space="0" w:color="auto"/>
            <w:right w:val="none" w:sz="0" w:space="0" w:color="auto"/>
          </w:divBdr>
          <w:divsChild>
            <w:div w:id="1084572458">
              <w:marLeft w:val="0"/>
              <w:marRight w:val="0"/>
              <w:marTop w:val="0"/>
              <w:marBottom w:val="0"/>
              <w:divBdr>
                <w:top w:val="none" w:sz="0" w:space="0" w:color="auto"/>
                <w:left w:val="none" w:sz="0" w:space="0" w:color="auto"/>
                <w:bottom w:val="none" w:sz="0" w:space="0" w:color="auto"/>
                <w:right w:val="none" w:sz="0" w:space="0" w:color="auto"/>
              </w:divBdr>
              <w:divsChild>
                <w:div w:id="172577436">
                  <w:marLeft w:val="0"/>
                  <w:marRight w:val="0"/>
                  <w:marTop w:val="0"/>
                  <w:marBottom w:val="0"/>
                  <w:divBdr>
                    <w:top w:val="none" w:sz="0" w:space="0" w:color="auto"/>
                    <w:left w:val="none" w:sz="0" w:space="0" w:color="auto"/>
                    <w:bottom w:val="none" w:sz="0" w:space="0" w:color="auto"/>
                    <w:right w:val="none" w:sz="0" w:space="0" w:color="auto"/>
                  </w:divBdr>
                  <w:divsChild>
                    <w:div w:id="6234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867068">
      <w:bodyDiv w:val="1"/>
      <w:marLeft w:val="0"/>
      <w:marRight w:val="0"/>
      <w:marTop w:val="0"/>
      <w:marBottom w:val="0"/>
      <w:divBdr>
        <w:top w:val="none" w:sz="0" w:space="0" w:color="auto"/>
        <w:left w:val="none" w:sz="0" w:space="0" w:color="auto"/>
        <w:bottom w:val="none" w:sz="0" w:space="0" w:color="auto"/>
        <w:right w:val="none" w:sz="0" w:space="0" w:color="auto"/>
      </w:divBdr>
      <w:divsChild>
        <w:div w:id="409237026">
          <w:marLeft w:val="0"/>
          <w:marRight w:val="0"/>
          <w:marTop w:val="0"/>
          <w:marBottom w:val="0"/>
          <w:divBdr>
            <w:top w:val="none" w:sz="0" w:space="0" w:color="auto"/>
            <w:left w:val="none" w:sz="0" w:space="0" w:color="auto"/>
            <w:bottom w:val="none" w:sz="0" w:space="0" w:color="auto"/>
            <w:right w:val="none" w:sz="0" w:space="0" w:color="auto"/>
          </w:divBdr>
          <w:divsChild>
            <w:div w:id="2088726873">
              <w:marLeft w:val="0"/>
              <w:marRight w:val="0"/>
              <w:marTop w:val="0"/>
              <w:marBottom w:val="0"/>
              <w:divBdr>
                <w:top w:val="none" w:sz="0" w:space="0" w:color="auto"/>
                <w:left w:val="none" w:sz="0" w:space="0" w:color="auto"/>
                <w:bottom w:val="none" w:sz="0" w:space="0" w:color="auto"/>
                <w:right w:val="none" w:sz="0" w:space="0" w:color="auto"/>
              </w:divBdr>
              <w:divsChild>
                <w:div w:id="16706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95112">
      <w:bodyDiv w:val="1"/>
      <w:marLeft w:val="0"/>
      <w:marRight w:val="0"/>
      <w:marTop w:val="0"/>
      <w:marBottom w:val="0"/>
      <w:divBdr>
        <w:top w:val="none" w:sz="0" w:space="0" w:color="auto"/>
        <w:left w:val="none" w:sz="0" w:space="0" w:color="auto"/>
        <w:bottom w:val="none" w:sz="0" w:space="0" w:color="auto"/>
        <w:right w:val="none" w:sz="0" w:space="0" w:color="auto"/>
      </w:divBdr>
      <w:divsChild>
        <w:div w:id="619993399">
          <w:marLeft w:val="0"/>
          <w:marRight w:val="0"/>
          <w:marTop w:val="0"/>
          <w:marBottom w:val="0"/>
          <w:divBdr>
            <w:top w:val="none" w:sz="0" w:space="0" w:color="auto"/>
            <w:left w:val="none" w:sz="0" w:space="0" w:color="auto"/>
            <w:bottom w:val="none" w:sz="0" w:space="0" w:color="auto"/>
            <w:right w:val="none" w:sz="0" w:space="0" w:color="auto"/>
          </w:divBdr>
          <w:divsChild>
            <w:div w:id="1354502139">
              <w:marLeft w:val="0"/>
              <w:marRight w:val="0"/>
              <w:marTop w:val="0"/>
              <w:marBottom w:val="0"/>
              <w:divBdr>
                <w:top w:val="none" w:sz="0" w:space="0" w:color="auto"/>
                <w:left w:val="none" w:sz="0" w:space="0" w:color="auto"/>
                <w:bottom w:val="none" w:sz="0" w:space="0" w:color="auto"/>
                <w:right w:val="none" w:sz="0" w:space="0" w:color="auto"/>
              </w:divBdr>
              <w:divsChild>
                <w:div w:id="223957884">
                  <w:marLeft w:val="0"/>
                  <w:marRight w:val="0"/>
                  <w:marTop w:val="0"/>
                  <w:marBottom w:val="0"/>
                  <w:divBdr>
                    <w:top w:val="none" w:sz="0" w:space="0" w:color="auto"/>
                    <w:left w:val="none" w:sz="0" w:space="0" w:color="auto"/>
                    <w:bottom w:val="none" w:sz="0" w:space="0" w:color="auto"/>
                    <w:right w:val="none" w:sz="0" w:space="0" w:color="auto"/>
                  </w:divBdr>
                  <w:divsChild>
                    <w:div w:id="3196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774579">
      <w:bodyDiv w:val="1"/>
      <w:marLeft w:val="0"/>
      <w:marRight w:val="0"/>
      <w:marTop w:val="0"/>
      <w:marBottom w:val="0"/>
      <w:divBdr>
        <w:top w:val="none" w:sz="0" w:space="0" w:color="auto"/>
        <w:left w:val="none" w:sz="0" w:space="0" w:color="auto"/>
        <w:bottom w:val="none" w:sz="0" w:space="0" w:color="auto"/>
        <w:right w:val="none" w:sz="0" w:space="0" w:color="auto"/>
      </w:divBdr>
      <w:divsChild>
        <w:div w:id="1335451662">
          <w:marLeft w:val="0"/>
          <w:marRight w:val="0"/>
          <w:marTop w:val="0"/>
          <w:marBottom w:val="0"/>
          <w:divBdr>
            <w:top w:val="none" w:sz="0" w:space="0" w:color="auto"/>
            <w:left w:val="none" w:sz="0" w:space="0" w:color="auto"/>
            <w:bottom w:val="none" w:sz="0" w:space="0" w:color="auto"/>
            <w:right w:val="none" w:sz="0" w:space="0" w:color="auto"/>
          </w:divBdr>
          <w:divsChild>
            <w:div w:id="1405300434">
              <w:marLeft w:val="0"/>
              <w:marRight w:val="0"/>
              <w:marTop w:val="0"/>
              <w:marBottom w:val="0"/>
              <w:divBdr>
                <w:top w:val="none" w:sz="0" w:space="0" w:color="auto"/>
                <w:left w:val="none" w:sz="0" w:space="0" w:color="auto"/>
                <w:bottom w:val="none" w:sz="0" w:space="0" w:color="auto"/>
                <w:right w:val="none" w:sz="0" w:space="0" w:color="auto"/>
              </w:divBdr>
              <w:divsChild>
                <w:div w:id="1367025028">
                  <w:marLeft w:val="0"/>
                  <w:marRight w:val="0"/>
                  <w:marTop w:val="0"/>
                  <w:marBottom w:val="0"/>
                  <w:divBdr>
                    <w:top w:val="none" w:sz="0" w:space="0" w:color="auto"/>
                    <w:left w:val="none" w:sz="0" w:space="0" w:color="auto"/>
                    <w:bottom w:val="none" w:sz="0" w:space="0" w:color="auto"/>
                    <w:right w:val="none" w:sz="0" w:space="0" w:color="auto"/>
                  </w:divBdr>
                  <w:divsChild>
                    <w:div w:id="589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5274">
      <w:bodyDiv w:val="1"/>
      <w:marLeft w:val="0"/>
      <w:marRight w:val="0"/>
      <w:marTop w:val="0"/>
      <w:marBottom w:val="0"/>
      <w:divBdr>
        <w:top w:val="none" w:sz="0" w:space="0" w:color="auto"/>
        <w:left w:val="none" w:sz="0" w:space="0" w:color="auto"/>
        <w:bottom w:val="none" w:sz="0" w:space="0" w:color="auto"/>
        <w:right w:val="none" w:sz="0" w:space="0" w:color="auto"/>
      </w:divBdr>
    </w:div>
    <w:div w:id="803043088">
      <w:bodyDiv w:val="1"/>
      <w:marLeft w:val="0"/>
      <w:marRight w:val="0"/>
      <w:marTop w:val="0"/>
      <w:marBottom w:val="0"/>
      <w:divBdr>
        <w:top w:val="none" w:sz="0" w:space="0" w:color="auto"/>
        <w:left w:val="none" w:sz="0" w:space="0" w:color="auto"/>
        <w:bottom w:val="none" w:sz="0" w:space="0" w:color="auto"/>
        <w:right w:val="none" w:sz="0" w:space="0" w:color="auto"/>
      </w:divBdr>
      <w:divsChild>
        <w:div w:id="1015813803">
          <w:marLeft w:val="0"/>
          <w:marRight w:val="0"/>
          <w:marTop w:val="0"/>
          <w:marBottom w:val="0"/>
          <w:divBdr>
            <w:top w:val="none" w:sz="0" w:space="0" w:color="auto"/>
            <w:left w:val="none" w:sz="0" w:space="0" w:color="auto"/>
            <w:bottom w:val="none" w:sz="0" w:space="0" w:color="auto"/>
            <w:right w:val="none" w:sz="0" w:space="0" w:color="auto"/>
          </w:divBdr>
          <w:divsChild>
            <w:div w:id="1219828192">
              <w:marLeft w:val="0"/>
              <w:marRight w:val="0"/>
              <w:marTop w:val="0"/>
              <w:marBottom w:val="0"/>
              <w:divBdr>
                <w:top w:val="none" w:sz="0" w:space="0" w:color="auto"/>
                <w:left w:val="none" w:sz="0" w:space="0" w:color="auto"/>
                <w:bottom w:val="none" w:sz="0" w:space="0" w:color="auto"/>
                <w:right w:val="none" w:sz="0" w:space="0" w:color="auto"/>
              </w:divBdr>
              <w:divsChild>
                <w:div w:id="18969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12106">
      <w:bodyDiv w:val="1"/>
      <w:marLeft w:val="0"/>
      <w:marRight w:val="0"/>
      <w:marTop w:val="0"/>
      <w:marBottom w:val="0"/>
      <w:divBdr>
        <w:top w:val="none" w:sz="0" w:space="0" w:color="auto"/>
        <w:left w:val="none" w:sz="0" w:space="0" w:color="auto"/>
        <w:bottom w:val="none" w:sz="0" w:space="0" w:color="auto"/>
        <w:right w:val="none" w:sz="0" w:space="0" w:color="auto"/>
      </w:divBdr>
      <w:divsChild>
        <w:div w:id="1018460096">
          <w:marLeft w:val="0"/>
          <w:marRight w:val="0"/>
          <w:marTop w:val="0"/>
          <w:marBottom w:val="0"/>
          <w:divBdr>
            <w:top w:val="none" w:sz="0" w:space="0" w:color="auto"/>
            <w:left w:val="none" w:sz="0" w:space="0" w:color="auto"/>
            <w:bottom w:val="none" w:sz="0" w:space="0" w:color="auto"/>
            <w:right w:val="none" w:sz="0" w:space="0" w:color="auto"/>
          </w:divBdr>
          <w:divsChild>
            <w:div w:id="268052991">
              <w:marLeft w:val="0"/>
              <w:marRight w:val="0"/>
              <w:marTop w:val="0"/>
              <w:marBottom w:val="0"/>
              <w:divBdr>
                <w:top w:val="none" w:sz="0" w:space="0" w:color="auto"/>
                <w:left w:val="none" w:sz="0" w:space="0" w:color="auto"/>
                <w:bottom w:val="none" w:sz="0" w:space="0" w:color="auto"/>
                <w:right w:val="none" w:sz="0" w:space="0" w:color="auto"/>
              </w:divBdr>
              <w:divsChild>
                <w:div w:id="1341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7453">
      <w:bodyDiv w:val="1"/>
      <w:marLeft w:val="0"/>
      <w:marRight w:val="0"/>
      <w:marTop w:val="0"/>
      <w:marBottom w:val="0"/>
      <w:divBdr>
        <w:top w:val="none" w:sz="0" w:space="0" w:color="auto"/>
        <w:left w:val="none" w:sz="0" w:space="0" w:color="auto"/>
        <w:bottom w:val="none" w:sz="0" w:space="0" w:color="auto"/>
        <w:right w:val="none" w:sz="0" w:space="0" w:color="auto"/>
      </w:divBdr>
      <w:divsChild>
        <w:div w:id="1801142308">
          <w:marLeft w:val="0"/>
          <w:marRight w:val="0"/>
          <w:marTop w:val="0"/>
          <w:marBottom w:val="0"/>
          <w:divBdr>
            <w:top w:val="none" w:sz="0" w:space="0" w:color="auto"/>
            <w:left w:val="none" w:sz="0" w:space="0" w:color="auto"/>
            <w:bottom w:val="none" w:sz="0" w:space="0" w:color="auto"/>
            <w:right w:val="none" w:sz="0" w:space="0" w:color="auto"/>
          </w:divBdr>
          <w:divsChild>
            <w:div w:id="291402536">
              <w:marLeft w:val="0"/>
              <w:marRight w:val="0"/>
              <w:marTop w:val="0"/>
              <w:marBottom w:val="0"/>
              <w:divBdr>
                <w:top w:val="none" w:sz="0" w:space="0" w:color="auto"/>
                <w:left w:val="none" w:sz="0" w:space="0" w:color="auto"/>
                <w:bottom w:val="none" w:sz="0" w:space="0" w:color="auto"/>
                <w:right w:val="none" w:sz="0" w:space="0" w:color="auto"/>
              </w:divBdr>
              <w:divsChild>
                <w:div w:id="1874229407">
                  <w:marLeft w:val="0"/>
                  <w:marRight w:val="0"/>
                  <w:marTop w:val="0"/>
                  <w:marBottom w:val="0"/>
                  <w:divBdr>
                    <w:top w:val="none" w:sz="0" w:space="0" w:color="auto"/>
                    <w:left w:val="none" w:sz="0" w:space="0" w:color="auto"/>
                    <w:bottom w:val="none" w:sz="0" w:space="0" w:color="auto"/>
                    <w:right w:val="none" w:sz="0" w:space="0" w:color="auto"/>
                  </w:divBdr>
                  <w:divsChild>
                    <w:div w:id="5973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155759">
      <w:bodyDiv w:val="1"/>
      <w:marLeft w:val="0"/>
      <w:marRight w:val="0"/>
      <w:marTop w:val="0"/>
      <w:marBottom w:val="0"/>
      <w:divBdr>
        <w:top w:val="none" w:sz="0" w:space="0" w:color="auto"/>
        <w:left w:val="none" w:sz="0" w:space="0" w:color="auto"/>
        <w:bottom w:val="none" w:sz="0" w:space="0" w:color="auto"/>
        <w:right w:val="none" w:sz="0" w:space="0" w:color="auto"/>
      </w:divBdr>
      <w:divsChild>
        <w:div w:id="651836118">
          <w:marLeft w:val="0"/>
          <w:marRight w:val="0"/>
          <w:marTop w:val="0"/>
          <w:marBottom w:val="0"/>
          <w:divBdr>
            <w:top w:val="none" w:sz="0" w:space="0" w:color="auto"/>
            <w:left w:val="none" w:sz="0" w:space="0" w:color="auto"/>
            <w:bottom w:val="none" w:sz="0" w:space="0" w:color="auto"/>
            <w:right w:val="none" w:sz="0" w:space="0" w:color="auto"/>
          </w:divBdr>
          <w:divsChild>
            <w:div w:id="1816605717">
              <w:marLeft w:val="0"/>
              <w:marRight w:val="0"/>
              <w:marTop w:val="0"/>
              <w:marBottom w:val="0"/>
              <w:divBdr>
                <w:top w:val="none" w:sz="0" w:space="0" w:color="auto"/>
                <w:left w:val="none" w:sz="0" w:space="0" w:color="auto"/>
                <w:bottom w:val="none" w:sz="0" w:space="0" w:color="auto"/>
                <w:right w:val="none" w:sz="0" w:space="0" w:color="auto"/>
              </w:divBdr>
              <w:divsChild>
                <w:div w:id="21318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20934">
      <w:bodyDiv w:val="1"/>
      <w:marLeft w:val="0"/>
      <w:marRight w:val="0"/>
      <w:marTop w:val="0"/>
      <w:marBottom w:val="0"/>
      <w:divBdr>
        <w:top w:val="none" w:sz="0" w:space="0" w:color="auto"/>
        <w:left w:val="none" w:sz="0" w:space="0" w:color="auto"/>
        <w:bottom w:val="none" w:sz="0" w:space="0" w:color="auto"/>
        <w:right w:val="none" w:sz="0" w:space="0" w:color="auto"/>
      </w:divBdr>
      <w:divsChild>
        <w:div w:id="471097629">
          <w:marLeft w:val="0"/>
          <w:marRight w:val="0"/>
          <w:marTop w:val="0"/>
          <w:marBottom w:val="0"/>
          <w:divBdr>
            <w:top w:val="none" w:sz="0" w:space="0" w:color="auto"/>
            <w:left w:val="none" w:sz="0" w:space="0" w:color="auto"/>
            <w:bottom w:val="none" w:sz="0" w:space="0" w:color="auto"/>
            <w:right w:val="none" w:sz="0" w:space="0" w:color="auto"/>
          </w:divBdr>
          <w:divsChild>
            <w:div w:id="650863263">
              <w:marLeft w:val="0"/>
              <w:marRight w:val="0"/>
              <w:marTop w:val="0"/>
              <w:marBottom w:val="0"/>
              <w:divBdr>
                <w:top w:val="none" w:sz="0" w:space="0" w:color="auto"/>
                <w:left w:val="none" w:sz="0" w:space="0" w:color="auto"/>
                <w:bottom w:val="none" w:sz="0" w:space="0" w:color="auto"/>
                <w:right w:val="none" w:sz="0" w:space="0" w:color="auto"/>
              </w:divBdr>
              <w:divsChild>
                <w:div w:id="5432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130483">
      <w:bodyDiv w:val="1"/>
      <w:marLeft w:val="0"/>
      <w:marRight w:val="0"/>
      <w:marTop w:val="0"/>
      <w:marBottom w:val="0"/>
      <w:divBdr>
        <w:top w:val="none" w:sz="0" w:space="0" w:color="auto"/>
        <w:left w:val="none" w:sz="0" w:space="0" w:color="auto"/>
        <w:bottom w:val="none" w:sz="0" w:space="0" w:color="auto"/>
        <w:right w:val="none" w:sz="0" w:space="0" w:color="auto"/>
      </w:divBdr>
    </w:div>
    <w:div w:id="1476752232">
      <w:bodyDiv w:val="1"/>
      <w:marLeft w:val="0"/>
      <w:marRight w:val="0"/>
      <w:marTop w:val="0"/>
      <w:marBottom w:val="0"/>
      <w:divBdr>
        <w:top w:val="none" w:sz="0" w:space="0" w:color="auto"/>
        <w:left w:val="none" w:sz="0" w:space="0" w:color="auto"/>
        <w:bottom w:val="none" w:sz="0" w:space="0" w:color="auto"/>
        <w:right w:val="none" w:sz="0" w:space="0" w:color="auto"/>
      </w:divBdr>
      <w:divsChild>
        <w:div w:id="1551071650">
          <w:marLeft w:val="0"/>
          <w:marRight w:val="0"/>
          <w:marTop w:val="0"/>
          <w:marBottom w:val="0"/>
          <w:divBdr>
            <w:top w:val="none" w:sz="0" w:space="0" w:color="auto"/>
            <w:left w:val="none" w:sz="0" w:space="0" w:color="auto"/>
            <w:bottom w:val="none" w:sz="0" w:space="0" w:color="auto"/>
            <w:right w:val="none" w:sz="0" w:space="0" w:color="auto"/>
          </w:divBdr>
          <w:divsChild>
            <w:div w:id="530345217">
              <w:marLeft w:val="0"/>
              <w:marRight w:val="0"/>
              <w:marTop w:val="0"/>
              <w:marBottom w:val="0"/>
              <w:divBdr>
                <w:top w:val="none" w:sz="0" w:space="0" w:color="auto"/>
                <w:left w:val="none" w:sz="0" w:space="0" w:color="auto"/>
                <w:bottom w:val="none" w:sz="0" w:space="0" w:color="auto"/>
                <w:right w:val="none" w:sz="0" w:space="0" w:color="auto"/>
              </w:divBdr>
              <w:divsChild>
                <w:div w:id="1240291415">
                  <w:marLeft w:val="0"/>
                  <w:marRight w:val="0"/>
                  <w:marTop w:val="0"/>
                  <w:marBottom w:val="0"/>
                  <w:divBdr>
                    <w:top w:val="none" w:sz="0" w:space="0" w:color="auto"/>
                    <w:left w:val="none" w:sz="0" w:space="0" w:color="auto"/>
                    <w:bottom w:val="none" w:sz="0" w:space="0" w:color="auto"/>
                    <w:right w:val="none" w:sz="0" w:space="0" w:color="auto"/>
                  </w:divBdr>
                  <w:divsChild>
                    <w:div w:id="4643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7014">
      <w:bodyDiv w:val="1"/>
      <w:marLeft w:val="0"/>
      <w:marRight w:val="0"/>
      <w:marTop w:val="0"/>
      <w:marBottom w:val="0"/>
      <w:divBdr>
        <w:top w:val="none" w:sz="0" w:space="0" w:color="auto"/>
        <w:left w:val="none" w:sz="0" w:space="0" w:color="auto"/>
        <w:bottom w:val="none" w:sz="0" w:space="0" w:color="auto"/>
        <w:right w:val="none" w:sz="0" w:space="0" w:color="auto"/>
      </w:divBdr>
      <w:divsChild>
        <w:div w:id="1029572884">
          <w:marLeft w:val="0"/>
          <w:marRight w:val="0"/>
          <w:marTop w:val="0"/>
          <w:marBottom w:val="0"/>
          <w:divBdr>
            <w:top w:val="none" w:sz="0" w:space="0" w:color="auto"/>
            <w:left w:val="none" w:sz="0" w:space="0" w:color="auto"/>
            <w:bottom w:val="none" w:sz="0" w:space="0" w:color="auto"/>
            <w:right w:val="none" w:sz="0" w:space="0" w:color="auto"/>
          </w:divBdr>
          <w:divsChild>
            <w:div w:id="2018994989">
              <w:marLeft w:val="0"/>
              <w:marRight w:val="0"/>
              <w:marTop w:val="0"/>
              <w:marBottom w:val="0"/>
              <w:divBdr>
                <w:top w:val="none" w:sz="0" w:space="0" w:color="auto"/>
                <w:left w:val="none" w:sz="0" w:space="0" w:color="auto"/>
                <w:bottom w:val="none" w:sz="0" w:space="0" w:color="auto"/>
                <w:right w:val="none" w:sz="0" w:space="0" w:color="auto"/>
              </w:divBdr>
              <w:divsChild>
                <w:div w:id="3867765">
                  <w:marLeft w:val="0"/>
                  <w:marRight w:val="0"/>
                  <w:marTop w:val="0"/>
                  <w:marBottom w:val="0"/>
                  <w:divBdr>
                    <w:top w:val="none" w:sz="0" w:space="0" w:color="auto"/>
                    <w:left w:val="none" w:sz="0" w:space="0" w:color="auto"/>
                    <w:bottom w:val="none" w:sz="0" w:space="0" w:color="auto"/>
                    <w:right w:val="none" w:sz="0" w:space="0" w:color="auto"/>
                  </w:divBdr>
                  <w:divsChild>
                    <w:div w:id="9255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93136">
      <w:bodyDiv w:val="1"/>
      <w:marLeft w:val="0"/>
      <w:marRight w:val="0"/>
      <w:marTop w:val="0"/>
      <w:marBottom w:val="0"/>
      <w:divBdr>
        <w:top w:val="none" w:sz="0" w:space="0" w:color="auto"/>
        <w:left w:val="none" w:sz="0" w:space="0" w:color="auto"/>
        <w:bottom w:val="none" w:sz="0" w:space="0" w:color="auto"/>
        <w:right w:val="none" w:sz="0" w:space="0" w:color="auto"/>
      </w:divBdr>
    </w:div>
    <w:div w:id="1647007138">
      <w:bodyDiv w:val="1"/>
      <w:marLeft w:val="0"/>
      <w:marRight w:val="0"/>
      <w:marTop w:val="0"/>
      <w:marBottom w:val="0"/>
      <w:divBdr>
        <w:top w:val="none" w:sz="0" w:space="0" w:color="auto"/>
        <w:left w:val="none" w:sz="0" w:space="0" w:color="auto"/>
        <w:bottom w:val="none" w:sz="0" w:space="0" w:color="auto"/>
        <w:right w:val="none" w:sz="0" w:space="0" w:color="auto"/>
      </w:divBdr>
    </w:div>
    <w:div w:id="1651251964">
      <w:bodyDiv w:val="1"/>
      <w:marLeft w:val="0"/>
      <w:marRight w:val="0"/>
      <w:marTop w:val="0"/>
      <w:marBottom w:val="0"/>
      <w:divBdr>
        <w:top w:val="none" w:sz="0" w:space="0" w:color="auto"/>
        <w:left w:val="none" w:sz="0" w:space="0" w:color="auto"/>
        <w:bottom w:val="none" w:sz="0" w:space="0" w:color="auto"/>
        <w:right w:val="none" w:sz="0" w:space="0" w:color="auto"/>
      </w:divBdr>
      <w:divsChild>
        <w:div w:id="774786576">
          <w:marLeft w:val="0"/>
          <w:marRight w:val="0"/>
          <w:marTop w:val="0"/>
          <w:marBottom w:val="0"/>
          <w:divBdr>
            <w:top w:val="none" w:sz="0" w:space="0" w:color="auto"/>
            <w:left w:val="none" w:sz="0" w:space="0" w:color="auto"/>
            <w:bottom w:val="none" w:sz="0" w:space="0" w:color="auto"/>
            <w:right w:val="none" w:sz="0" w:space="0" w:color="auto"/>
          </w:divBdr>
          <w:divsChild>
            <w:div w:id="120851658">
              <w:marLeft w:val="0"/>
              <w:marRight w:val="0"/>
              <w:marTop w:val="0"/>
              <w:marBottom w:val="0"/>
              <w:divBdr>
                <w:top w:val="none" w:sz="0" w:space="0" w:color="auto"/>
                <w:left w:val="none" w:sz="0" w:space="0" w:color="auto"/>
                <w:bottom w:val="none" w:sz="0" w:space="0" w:color="auto"/>
                <w:right w:val="none" w:sz="0" w:space="0" w:color="auto"/>
              </w:divBdr>
              <w:divsChild>
                <w:div w:id="948200535">
                  <w:marLeft w:val="0"/>
                  <w:marRight w:val="0"/>
                  <w:marTop w:val="0"/>
                  <w:marBottom w:val="0"/>
                  <w:divBdr>
                    <w:top w:val="none" w:sz="0" w:space="0" w:color="auto"/>
                    <w:left w:val="none" w:sz="0" w:space="0" w:color="auto"/>
                    <w:bottom w:val="none" w:sz="0" w:space="0" w:color="auto"/>
                    <w:right w:val="none" w:sz="0" w:space="0" w:color="auto"/>
                  </w:divBdr>
                  <w:divsChild>
                    <w:div w:id="12206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64911">
      <w:bodyDiv w:val="1"/>
      <w:marLeft w:val="0"/>
      <w:marRight w:val="0"/>
      <w:marTop w:val="0"/>
      <w:marBottom w:val="0"/>
      <w:divBdr>
        <w:top w:val="none" w:sz="0" w:space="0" w:color="auto"/>
        <w:left w:val="none" w:sz="0" w:space="0" w:color="auto"/>
        <w:bottom w:val="none" w:sz="0" w:space="0" w:color="auto"/>
        <w:right w:val="none" w:sz="0" w:space="0" w:color="auto"/>
      </w:divBdr>
    </w:div>
    <w:div w:id="1797526427">
      <w:bodyDiv w:val="1"/>
      <w:marLeft w:val="0"/>
      <w:marRight w:val="0"/>
      <w:marTop w:val="0"/>
      <w:marBottom w:val="0"/>
      <w:divBdr>
        <w:top w:val="none" w:sz="0" w:space="0" w:color="auto"/>
        <w:left w:val="none" w:sz="0" w:space="0" w:color="auto"/>
        <w:bottom w:val="none" w:sz="0" w:space="0" w:color="auto"/>
        <w:right w:val="none" w:sz="0" w:space="0" w:color="auto"/>
      </w:divBdr>
      <w:divsChild>
        <w:div w:id="1352879746">
          <w:marLeft w:val="0"/>
          <w:marRight w:val="0"/>
          <w:marTop w:val="0"/>
          <w:marBottom w:val="0"/>
          <w:divBdr>
            <w:top w:val="none" w:sz="0" w:space="0" w:color="auto"/>
            <w:left w:val="none" w:sz="0" w:space="0" w:color="auto"/>
            <w:bottom w:val="none" w:sz="0" w:space="0" w:color="auto"/>
            <w:right w:val="none" w:sz="0" w:space="0" w:color="auto"/>
          </w:divBdr>
          <w:divsChild>
            <w:div w:id="1696275286">
              <w:marLeft w:val="0"/>
              <w:marRight w:val="0"/>
              <w:marTop w:val="0"/>
              <w:marBottom w:val="0"/>
              <w:divBdr>
                <w:top w:val="none" w:sz="0" w:space="0" w:color="auto"/>
                <w:left w:val="none" w:sz="0" w:space="0" w:color="auto"/>
                <w:bottom w:val="none" w:sz="0" w:space="0" w:color="auto"/>
                <w:right w:val="none" w:sz="0" w:space="0" w:color="auto"/>
              </w:divBdr>
              <w:divsChild>
                <w:div w:id="4619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53775">
      <w:bodyDiv w:val="1"/>
      <w:marLeft w:val="0"/>
      <w:marRight w:val="0"/>
      <w:marTop w:val="0"/>
      <w:marBottom w:val="0"/>
      <w:divBdr>
        <w:top w:val="none" w:sz="0" w:space="0" w:color="auto"/>
        <w:left w:val="none" w:sz="0" w:space="0" w:color="auto"/>
        <w:bottom w:val="none" w:sz="0" w:space="0" w:color="auto"/>
        <w:right w:val="none" w:sz="0" w:space="0" w:color="auto"/>
      </w:divBdr>
    </w:div>
    <w:div w:id="1917009978">
      <w:bodyDiv w:val="1"/>
      <w:marLeft w:val="0"/>
      <w:marRight w:val="0"/>
      <w:marTop w:val="0"/>
      <w:marBottom w:val="0"/>
      <w:divBdr>
        <w:top w:val="none" w:sz="0" w:space="0" w:color="auto"/>
        <w:left w:val="none" w:sz="0" w:space="0" w:color="auto"/>
        <w:bottom w:val="none" w:sz="0" w:space="0" w:color="auto"/>
        <w:right w:val="none" w:sz="0" w:space="0" w:color="auto"/>
      </w:divBdr>
    </w:div>
    <w:div w:id="1956906824">
      <w:bodyDiv w:val="1"/>
      <w:marLeft w:val="0"/>
      <w:marRight w:val="0"/>
      <w:marTop w:val="0"/>
      <w:marBottom w:val="0"/>
      <w:divBdr>
        <w:top w:val="none" w:sz="0" w:space="0" w:color="auto"/>
        <w:left w:val="none" w:sz="0" w:space="0" w:color="auto"/>
        <w:bottom w:val="none" w:sz="0" w:space="0" w:color="auto"/>
        <w:right w:val="none" w:sz="0" w:space="0" w:color="auto"/>
      </w:divBdr>
      <w:divsChild>
        <w:div w:id="1395817243">
          <w:marLeft w:val="0"/>
          <w:marRight w:val="0"/>
          <w:marTop w:val="0"/>
          <w:marBottom w:val="0"/>
          <w:divBdr>
            <w:top w:val="none" w:sz="0" w:space="0" w:color="auto"/>
            <w:left w:val="none" w:sz="0" w:space="0" w:color="auto"/>
            <w:bottom w:val="none" w:sz="0" w:space="0" w:color="auto"/>
            <w:right w:val="none" w:sz="0" w:space="0" w:color="auto"/>
          </w:divBdr>
          <w:divsChild>
            <w:div w:id="1404717320">
              <w:marLeft w:val="0"/>
              <w:marRight w:val="0"/>
              <w:marTop w:val="0"/>
              <w:marBottom w:val="0"/>
              <w:divBdr>
                <w:top w:val="none" w:sz="0" w:space="0" w:color="auto"/>
                <w:left w:val="none" w:sz="0" w:space="0" w:color="auto"/>
                <w:bottom w:val="none" w:sz="0" w:space="0" w:color="auto"/>
                <w:right w:val="none" w:sz="0" w:space="0" w:color="auto"/>
              </w:divBdr>
              <w:divsChild>
                <w:div w:id="1663775656">
                  <w:marLeft w:val="0"/>
                  <w:marRight w:val="0"/>
                  <w:marTop w:val="0"/>
                  <w:marBottom w:val="0"/>
                  <w:divBdr>
                    <w:top w:val="none" w:sz="0" w:space="0" w:color="auto"/>
                    <w:left w:val="none" w:sz="0" w:space="0" w:color="auto"/>
                    <w:bottom w:val="none" w:sz="0" w:space="0" w:color="auto"/>
                    <w:right w:val="none" w:sz="0" w:space="0" w:color="auto"/>
                  </w:divBdr>
                  <w:divsChild>
                    <w:div w:id="2201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79980">
      <w:bodyDiv w:val="1"/>
      <w:marLeft w:val="0"/>
      <w:marRight w:val="0"/>
      <w:marTop w:val="0"/>
      <w:marBottom w:val="0"/>
      <w:divBdr>
        <w:top w:val="none" w:sz="0" w:space="0" w:color="auto"/>
        <w:left w:val="none" w:sz="0" w:space="0" w:color="auto"/>
        <w:bottom w:val="none" w:sz="0" w:space="0" w:color="auto"/>
        <w:right w:val="none" w:sz="0" w:space="0" w:color="auto"/>
      </w:divBdr>
      <w:divsChild>
        <w:div w:id="529489833">
          <w:marLeft w:val="0"/>
          <w:marRight w:val="0"/>
          <w:marTop w:val="0"/>
          <w:marBottom w:val="0"/>
          <w:divBdr>
            <w:top w:val="none" w:sz="0" w:space="0" w:color="auto"/>
            <w:left w:val="none" w:sz="0" w:space="0" w:color="auto"/>
            <w:bottom w:val="none" w:sz="0" w:space="0" w:color="auto"/>
            <w:right w:val="none" w:sz="0" w:space="0" w:color="auto"/>
          </w:divBdr>
          <w:divsChild>
            <w:div w:id="1509368274">
              <w:marLeft w:val="0"/>
              <w:marRight w:val="0"/>
              <w:marTop w:val="0"/>
              <w:marBottom w:val="0"/>
              <w:divBdr>
                <w:top w:val="none" w:sz="0" w:space="0" w:color="auto"/>
                <w:left w:val="none" w:sz="0" w:space="0" w:color="auto"/>
                <w:bottom w:val="none" w:sz="0" w:space="0" w:color="auto"/>
                <w:right w:val="none" w:sz="0" w:space="0" w:color="auto"/>
              </w:divBdr>
              <w:divsChild>
                <w:div w:id="2054772644">
                  <w:marLeft w:val="0"/>
                  <w:marRight w:val="0"/>
                  <w:marTop w:val="0"/>
                  <w:marBottom w:val="0"/>
                  <w:divBdr>
                    <w:top w:val="none" w:sz="0" w:space="0" w:color="auto"/>
                    <w:left w:val="none" w:sz="0" w:space="0" w:color="auto"/>
                    <w:bottom w:val="none" w:sz="0" w:space="0" w:color="auto"/>
                    <w:right w:val="none" w:sz="0" w:space="0" w:color="auto"/>
                  </w:divBdr>
                  <w:divsChild>
                    <w:div w:id="1812936643">
                      <w:marLeft w:val="0"/>
                      <w:marRight w:val="0"/>
                      <w:marTop w:val="0"/>
                      <w:marBottom w:val="0"/>
                      <w:divBdr>
                        <w:top w:val="none" w:sz="0" w:space="0" w:color="auto"/>
                        <w:left w:val="none" w:sz="0" w:space="0" w:color="auto"/>
                        <w:bottom w:val="none" w:sz="0" w:space="0" w:color="auto"/>
                        <w:right w:val="none" w:sz="0" w:space="0" w:color="auto"/>
                      </w:divBdr>
                    </w:div>
                    <w:div w:id="1368677586">
                      <w:marLeft w:val="0"/>
                      <w:marRight w:val="0"/>
                      <w:marTop w:val="0"/>
                      <w:marBottom w:val="0"/>
                      <w:divBdr>
                        <w:top w:val="none" w:sz="0" w:space="0" w:color="auto"/>
                        <w:left w:val="none" w:sz="0" w:space="0" w:color="auto"/>
                        <w:bottom w:val="none" w:sz="0" w:space="0" w:color="auto"/>
                        <w:right w:val="none" w:sz="0" w:space="0" w:color="auto"/>
                      </w:divBdr>
                    </w:div>
                  </w:divsChild>
                </w:div>
                <w:div w:id="788665161">
                  <w:marLeft w:val="0"/>
                  <w:marRight w:val="0"/>
                  <w:marTop w:val="0"/>
                  <w:marBottom w:val="0"/>
                  <w:divBdr>
                    <w:top w:val="none" w:sz="0" w:space="0" w:color="auto"/>
                    <w:left w:val="none" w:sz="0" w:space="0" w:color="auto"/>
                    <w:bottom w:val="none" w:sz="0" w:space="0" w:color="auto"/>
                    <w:right w:val="none" w:sz="0" w:space="0" w:color="auto"/>
                  </w:divBdr>
                  <w:divsChild>
                    <w:div w:id="13544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7769">
              <w:marLeft w:val="0"/>
              <w:marRight w:val="0"/>
              <w:marTop w:val="0"/>
              <w:marBottom w:val="0"/>
              <w:divBdr>
                <w:top w:val="none" w:sz="0" w:space="0" w:color="auto"/>
                <w:left w:val="none" w:sz="0" w:space="0" w:color="auto"/>
                <w:bottom w:val="none" w:sz="0" w:space="0" w:color="auto"/>
                <w:right w:val="none" w:sz="0" w:space="0" w:color="auto"/>
              </w:divBdr>
              <w:divsChild>
                <w:div w:id="1766462551">
                  <w:marLeft w:val="0"/>
                  <w:marRight w:val="0"/>
                  <w:marTop w:val="0"/>
                  <w:marBottom w:val="0"/>
                  <w:divBdr>
                    <w:top w:val="none" w:sz="0" w:space="0" w:color="auto"/>
                    <w:left w:val="none" w:sz="0" w:space="0" w:color="auto"/>
                    <w:bottom w:val="none" w:sz="0" w:space="0" w:color="auto"/>
                    <w:right w:val="none" w:sz="0" w:space="0" w:color="auto"/>
                  </w:divBdr>
                  <w:divsChild>
                    <w:div w:id="329455094">
                      <w:marLeft w:val="0"/>
                      <w:marRight w:val="0"/>
                      <w:marTop w:val="0"/>
                      <w:marBottom w:val="0"/>
                      <w:divBdr>
                        <w:top w:val="none" w:sz="0" w:space="0" w:color="auto"/>
                        <w:left w:val="none" w:sz="0" w:space="0" w:color="auto"/>
                        <w:bottom w:val="none" w:sz="0" w:space="0" w:color="auto"/>
                        <w:right w:val="none" w:sz="0" w:space="0" w:color="auto"/>
                      </w:divBdr>
                    </w:div>
                    <w:div w:id="28653624">
                      <w:marLeft w:val="0"/>
                      <w:marRight w:val="0"/>
                      <w:marTop w:val="0"/>
                      <w:marBottom w:val="0"/>
                      <w:divBdr>
                        <w:top w:val="none" w:sz="0" w:space="0" w:color="auto"/>
                        <w:left w:val="none" w:sz="0" w:space="0" w:color="auto"/>
                        <w:bottom w:val="none" w:sz="0" w:space="0" w:color="auto"/>
                        <w:right w:val="none" w:sz="0" w:space="0" w:color="auto"/>
                      </w:divBdr>
                    </w:div>
                    <w:div w:id="1431507815">
                      <w:marLeft w:val="0"/>
                      <w:marRight w:val="0"/>
                      <w:marTop w:val="0"/>
                      <w:marBottom w:val="0"/>
                      <w:divBdr>
                        <w:top w:val="none" w:sz="0" w:space="0" w:color="auto"/>
                        <w:left w:val="none" w:sz="0" w:space="0" w:color="auto"/>
                        <w:bottom w:val="none" w:sz="0" w:space="0" w:color="auto"/>
                        <w:right w:val="none" w:sz="0" w:space="0" w:color="auto"/>
                      </w:divBdr>
                    </w:div>
                    <w:div w:id="1560436140">
                      <w:marLeft w:val="0"/>
                      <w:marRight w:val="0"/>
                      <w:marTop w:val="0"/>
                      <w:marBottom w:val="0"/>
                      <w:divBdr>
                        <w:top w:val="none" w:sz="0" w:space="0" w:color="auto"/>
                        <w:left w:val="none" w:sz="0" w:space="0" w:color="auto"/>
                        <w:bottom w:val="none" w:sz="0" w:space="0" w:color="auto"/>
                        <w:right w:val="none" w:sz="0" w:space="0" w:color="auto"/>
                      </w:divBdr>
                    </w:div>
                    <w:div w:id="701707023">
                      <w:marLeft w:val="0"/>
                      <w:marRight w:val="0"/>
                      <w:marTop w:val="0"/>
                      <w:marBottom w:val="0"/>
                      <w:divBdr>
                        <w:top w:val="none" w:sz="0" w:space="0" w:color="auto"/>
                        <w:left w:val="none" w:sz="0" w:space="0" w:color="auto"/>
                        <w:bottom w:val="none" w:sz="0" w:space="0" w:color="auto"/>
                        <w:right w:val="none" w:sz="0" w:space="0" w:color="auto"/>
                      </w:divBdr>
                    </w:div>
                  </w:divsChild>
                </w:div>
                <w:div w:id="1964992130">
                  <w:marLeft w:val="0"/>
                  <w:marRight w:val="0"/>
                  <w:marTop w:val="0"/>
                  <w:marBottom w:val="0"/>
                  <w:divBdr>
                    <w:top w:val="none" w:sz="0" w:space="0" w:color="auto"/>
                    <w:left w:val="none" w:sz="0" w:space="0" w:color="auto"/>
                    <w:bottom w:val="none" w:sz="0" w:space="0" w:color="auto"/>
                    <w:right w:val="none" w:sz="0" w:space="0" w:color="auto"/>
                  </w:divBdr>
                  <w:divsChild>
                    <w:div w:id="1331373332">
                      <w:marLeft w:val="0"/>
                      <w:marRight w:val="0"/>
                      <w:marTop w:val="0"/>
                      <w:marBottom w:val="0"/>
                      <w:divBdr>
                        <w:top w:val="none" w:sz="0" w:space="0" w:color="auto"/>
                        <w:left w:val="none" w:sz="0" w:space="0" w:color="auto"/>
                        <w:bottom w:val="none" w:sz="0" w:space="0" w:color="auto"/>
                        <w:right w:val="none" w:sz="0" w:space="0" w:color="auto"/>
                      </w:divBdr>
                    </w:div>
                  </w:divsChild>
                </w:div>
                <w:div w:id="1634168366">
                  <w:marLeft w:val="0"/>
                  <w:marRight w:val="0"/>
                  <w:marTop w:val="0"/>
                  <w:marBottom w:val="0"/>
                  <w:divBdr>
                    <w:top w:val="none" w:sz="0" w:space="0" w:color="auto"/>
                    <w:left w:val="none" w:sz="0" w:space="0" w:color="auto"/>
                    <w:bottom w:val="none" w:sz="0" w:space="0" w:color="auto"/>
                    <w:right w:val="none" w:sz="0" w:space="0" w:color="auto"/>
                  </w:divBdr>
                  <w:divsChild>
                    <w:div w:id="1039628513">
                      <w:marLeft w:val="0"/>
                      <w:marRight w:val="0"/>
                      <w:marTop w:val="0"/>
                      <w:marBottom w:val="0"/>
                      <w:divBdr>
                        <w:top w:val="none" w:sz="0" w:space="0" w:color="auto"/>
                        <w:left w:val="none" w:sz="0" w:space="0" w:color="auto"/>
                        <w:bottom w:val="none" w:sz="0" w:space="0" w:color="auto"/>
                        <w:right w:val="none" w:sz="0" w:space="0" w:color="auto"/>
                      </w:divBdr>
                    </w:div>
                    <w:div w:id="2118910228">
                      <w:marLeft w:val="0"/>
                      <w:marRight w:val="0"/>
                      <w:marTop w:val="0"/>
                      <w:marBottom w:val="0"/>
                      <w:divBdr>
                        <w:top w:val="none" w:sz="0" w:space="0" w:color="auto"/>
                        <w:left w:val="none" w:sz="0" w:space="0" w:color="auto"/>
                        <w:bottom w:val="none" w:sz="0" w:space="0" w:color="auto"/>
                        <w:right w:val="none" w:sz="0" w:space="0" w:color="auto"/>
                      </w:divBdr>
                    </w:div>
                    <w:div w:id="1534732269">
                      <w:marLeft w:val="0"/>
                      <w:marRight w:val="0"/>
                      <w:marTop w:val="0"/>
                      <w:marBottom w:val="0"/>
                      <w:divBdr>
                        <w:top w:val="none" w:sz="0" w:space="0" w:color="auto"/>
                        <w:left w:val="none" w:sz="0" w:space="0" w:color="auto"/>
                        <w:bottom w:val="none" w:sz="0" w:space="0" w:color="auto"/>
                        <w:right w:val="none" w:sz="0" w:space="0" w:color="auto"/>
                      </w:divBdr>
                    </w:div>
                    <w:div w:id="839854524">
                      <w:marLeft w:val="0"/>
                      <w:marRight w:val="0"/>
                      <w:marTop w:val="0"/>
                      <w:marBottom w:val="0"/>
                      <w:divBdr>
                        <w:top w:val="none" w:sz="0" w:space="0" w:color="auto"/>
                        <w:left w:val="none" w:sz="0" w:space="0" w:color="auto"/>
                        <w:bottom w:val="none" w:sz="0" w:space="0" w:color="auto"/>
                        <w:right w:val="none" w:sz="0" w:space="0" w:color="auto"/>
                      </w:divBdr>
                    </w:div>
                    <w:div w:id="599721732">
                      <w:marLeft w:val="0"/>
                      <w:marRight w:val="0"/>
                      <w:marTop w:val="0"/>
                      <w:marBottom w:val="0"/>
                      <w:divBdr>
                        <w:top w:val="none" w:sz="0" w:space="0" w:color="auto"/>
                        <w:left w:val="none" w:sz="0" w:space="0" w:color="auto"/>
                        <w:bottom w:val="none" w:sz="0" w:space="0" w:color="auto"/>
                        <w:right w:val="none" w:sz="0" w:space="0" w:color="auto"/>
                      </w:divBdr>
                    </w:div>
                    <w:div w:id="845755189">
                      <w:marLeft w:val="0"/>
                      <w:marRight w:val="0"/>
                      <w:marTop w:val="0"/>
                      <w:marBottom w:val="0"/>
                      <w:divBdr>
                        <w:top w:val="none" w:sz="0" w:space="0" w:color="auto"/>
                        <w:left w:val="none" w:sz="0" w:space="0" w:color="auto"/>
                        <w:bottom w:val="none" w:sz="0" w:space="0" w:color="auto"/>
                        <w:right w:val="none" w:sz="0" w:space="0" w:color="auto"/>
                      </w:divBdr>
                    </w:div>
                    <w:div w:id="339358406">
                      <w:marLeft w:val="0"/>
                      <w:marRight w:val="0"/>
                      <w:marTop w:val="0"/>
                      <w:marBottom w:val="0"/>
                      <w:divBdr>
                        <w:top w:val="none" w:sz="0" w:space="0" w:color="auto"/>
                        <w:left w:val="none" w:sz="0" w:space="0" w:color="auto"/>
                        <w:bottom w:val="none" w:sz="0" w:space="0" w:color="auto"/>
                        <w:right w:val="none" w:sz="0" w:space="0" w:color="auto"/>
                      </w:divBdr>
                    </w:div>
                  </w:divsChild>
                </w:div>
                <w:div w:id="891622592">
                  <w:marLeft w:val="0"/>
                  <w:marRight w:val="0"/>
                  <w:marTop w:val="0"/>
                  <w:marBottom w:val="0"/>
                  <w:divBdr>
                    <w:top w:val="none" w:sz="0" w:space="0" w:color="auto"/>
                    <w:left w:val="none" w:sz="0" w:space="0" w:color="auto"/>
                    <w:bottom w:val="none" w:sz="0" w:space="0" w:color="auto"/>
                    <w:right w:val="none" w:sz="0" w:space="0" w:color="auto"/>
                  </w:divBdr>
                  <w:divsChild>
                    <w:div w:id="320888346">
                      <w:marLeft w:val="0"/>
                      <w:marRight w:val="0"/>
                      <w:marTop w:val="0"/>
                      <w:marBottom w:val="0"/>
                      <w:divBdr>
                        <w:top w:val="none" w:sz="0" w:space="0" w:color="auto"/>
                        <w:left w:val="none" w:sz="0" w:space="0" w:color="auto"/>
                        <w:bottom w:val="none" w:sz="0" w:space="0" w:color="auto"/>
                        <w:right w:val="none" w:sz="0" w:space="0" w:color="auto"/>
                      </w:divBdr>
                    </w:div>
                    <w:div w:id="608582636">
                      <w:marLeft w:val="0"/>
                      <w:marRight w:val="0"/>
                      <w:marTop w:val="0"/>
                      <w:marBottom w:val="0"/>
                      <w:divBdr>
                        <w:top w:val="none" w:sz="0" w:space="0" w:color="auto"/>
                        <w:left w:val="none" w:sz="0" w:space="0" w:color="auto"/>
                        <w:bottom w:val="none" w:sz="0" w:space="0" w:color="auto"/>
                        <w:right w:val="none" w:sz="0" w:space="0" w:color="auto"/>
                      </w:divBdr>
                    </w:div>
                    <w:div w:id="1827672625">
                      <w:marLeft w:val="0"/>
                      <w:marRight w:val="0"/>
                      <w:marTop w:val="0"/>
                      <w:marBottom w:val="0"/>
                      <w:divBdr>
                        <w:top w:val="none" w:sz="0" w:space="0" w:color="auto"/>
                        <w:left w:val="none" w:sz="0" w:space="0" w:color="auto"/>
                        <w:bottom w:val="none" w:sz="0" w:space="0" w:color="auto"/>
                        <w:right w:val="none" w:sz="0" w:space="0" w:color="auto"/>
                      </w:divBdr>
                    </w:div>
                    <w:div w:id="1993409375">
                      <w:marLeft w:val="0"/>
                      <w:marRight w:val="0"/>
                      <w:marTop w:val="0"/>
                      <w:marBottom w:val="0"/>
                      <w:divBdr>
                        <w:top w:val="none" w:sz="0" w:space="0" w:color="auto"/>
                        <w:left w:val="none" w:sz="0" w:space="0" w:color="auto"/>
                        <w:bottom w:val="none" w:sz="0" w:space="0" w:color="auto"/>
                        <w:right w:val="none" w:sz="0" w:space="0" w:color="auto"/>
                      </w:divBdr>
                    </w:div>
                    <w:div w:id="1364819791">
                      <w:marLeft w:val="0"/>
                      <w:marRight w:val="0"/>
                      <w:marTop w:val="0"/>
                      <w:marBottom w:val="0"/>
                      <w:divBdr>
                        <w:top w:val="none" w:sz="0" w:space="0" w:color="auto"/>
                        <w:left w:val="none" w:sz="0" w:space="0" w:color="auto"/>
                        <w:bottom w:val="none" w:sz="0" w:space="0" w:color="auto"/>
                        <w:right w:val="none" w:sz="0" w:space="0" w:color="auto"/>
                      </w:divBdr>
                    </w:div>
                    <w:div w:id="895362613">
                      <w:marLeft w:val="0"/>
                      <w:marRight w:val="0"/>
                      <w:marTop w:val="0"/>
                      <w:marBottom w:val="0"/>
                      <w:divBdr>
                        <w:top w:val="none" w:sz="0" w:space="0" w:color="auto"/>
                        <w:left w:val="none" w:sz="0" w:space="0" w:color="auto"/>
                        <w:bottom w:val="none" w:sz="0" w:space="0" w:color="auto"/>
                        <w:right w:val="none" w:sz="0" w:space="0" w:color="auto"/>
                      </w:divBdr>
                    </w:div>
                    <w:div w:id="1490825814">
                      <w:marLeft w:val="0"/>
                      <w:marRight w:val="0"/>
                      <w:marTop w:val="0"/>
                      <w:marBottom w:val="0"/>
                      <w:divBdr>
                        <w:top w:val="none" w:sz="0" w:space="0" w:color="auto"/>
                        <w:left w:val="none" w:sz="0" w:space="0" w:color="auto"/>
                        <w:bottom w:val="none" w:sz="0" w:space="0" w:color="auto"/>
                        <w:right w:val="none" w:sz="0" w:space="0" w:color="auto"/>
                      </w:divBdr>
                    </w:div>
                  </w:divsChild>
                </w:div>
                <w:div w:id="1482229650">
                  <w:marLeft w:val="0"/>
                  <w:marRight w:val="0"/>
                  <w:marTop w:val="0"/>
                  <w:marBottom w:val="0"/>
                  <w:divBdr>
                    <w:top w:val="none" w:sz="0" w:space="0" w:color="auto"/>
                    <w:left w:val="none" w:sz="0" w:space="0" w:color="auto"/>
                    <w:bottom w:val="none" w:sz="0" w:space="0" w:color="auto"/>
                    <w:right w:val="none" w:sz="0" w:space="0" w:color="auto"/>
                  </w:divBdr>
                  <w:divsChild>
                    <w:div w:id="409618998">
                      <w:marLeft w:val="0"/>
                      <w:marRight w:val="0"/>
                      <w:marTop w:val="0"/>
                      <w:marBottom w:val="0"/>
                      <w:divBdr>
                        <w:top w:val="none" w:sz="0" w:space="0" w:color="auto"/>
                        <w:left w:val="none" w:sz="0" w:space="0" w:color="auto"/>
                        <w:bottom w:val="none" w:sz="0" w:space="0" w:color="auto"/>
                        <w:right w:val="none" w:sz="0" w:space="0" w:color="auto"/>
                      </w:divBdr>
                    </w:div>
                    <w:div w:id="468936067">
                      <w:marLeft w:val="0"/>
                      <w:marRight w:val="0"/>
                      <w:marTop w:val="0"/>
                      <w:marBottom w:val="0"/>
                      <w:divBdr>
                        <w:top w:val="none" w:sz="0" w:space="0" w:color="auto"/>
                        <w:left w:val="none" w:sz="0" w:space="0" w:color="auto"/>
                        <w:bottom w:val="none" w:sz="0" w:space="0" w:color="auto"/>
                        <w:right w:val="none" w:sz="0" w:space="0" w:color="auto"/>
                      </w:divBdr>
                    </w:div>
                    <w:div w:id="148526089">
                      <w:marLeft w:val="0"/>
                      <w:marRight w:val="0"/>
                      <w:marTop w:val="0"/>
                      <w:marBottom w:val="0"/>
                      <w:divBdr>
                        <w:top w:val="none" w:sz="0" w:space="0" w:color="auto"/>
                        <w:left w:val="none" w:sz="0" w:space="0" w:color="auto"/>
                        <w:bottom w:val="none" w:sz="0" w:space="0" w:color="auto"/>
                        <w:right w:val="none" w:sz="0" w:space="0" w:color="auto"/>
                      </w:divBdr>
                    </w:div>
                    <w:div w:id="195700123">
                      <w:marLeft w:val="0"/>
                      <w:marRight w:val="0"/>
                      <w:marTop w:val="0"/>
                      <w:marBottom w:val="0"/>
                      <w:divBdr>
                        <w:top w:val="none" w:sz="0" w:space="0" w:color="auto"/>
                        <w:left w:val="none" w:sz="0" w:space="0" w:color="auto"/>
                        <w:bottom w:val="none" w:sz="0" w:space="0" w:color="auto"/>
                        <w:right w:val="none" w:sz="0" w:space="0" w:color="auto"/>
                      </w:divBdr>
                    </w:div>
                    <w:div w:id="735322734">
                      <w:marLeft w:val="0"/>
                      <w:marRight w:val="0"/>
                      <w:marTop w:val="0"/>
                      <w:marBottom w:val="0"/>
                      <w:divBdr>
                        <w:top w:val="none" w:sz="0" w:space="0" w:color="auto"/>
                        <w:left w:val="none" w:sz="0" w:space="0" w:color="auto"/>
                        <w:bottom w:val="none" w:sz="0" w:space="0" w:color="auto"/>
                        <w:right w:val="none" w:sz="0" w:space="0" w:color="auto"/>
                      </w:divBdr>
                    </w:div>
                  </w:divsChild>
                </w:div>
                <w:div w:id="919023351">
                  <w:marLeft w:val="0"/>
                  <w:marRight w:val="0"/>
                  <w:marTop w:val="0"/>
                  <w:marBottom w:val="0"/>
                  <w:divBdr>
                    <w:top w:val="none" w:sz="0" w:space="0" w:color="auto"/>
                    <w:left w:val="none" w:sz="0" w:space="0" w:color="auto"/>
                    <w:bottom w:val="none" w:sz="0" w:space="0" w:color="auto"/>
                    <w:right w:val="none" w:sz="0" w:space="0" w:color="auto"/>
                  </w:divBdr>
                  <w:divsChild>
                    <w:div w:id="18250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is2017.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brahim.sonmez@upf.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30668</Words>
  <Characters>162542</Characters>
  <Application>Microsoft Office Word</Application>
  <DocSecurity>4</DocSecurity>
  <Lines>1354</Lines>
  <Paragraphs>385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Marit Olsvik Opsahl</cp:lastModifiedBy>
  <cp:revision>2</cp:revision>
  <dcterms:created xsi:type="dcterms:W3CDTF">2023-03-14T14:32:00Z</dcterms:created>
  <dcterms:modified xsi:type="dcterms:W3CDTF">2023-03-14T14:32:00Z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id="qZXknsL4"/&gt;&lt;style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