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0A958" w14:textId="2B4428B0" w:rsidR="00FB6053" w:rsidRPr="00156087" w:rsidRDefault="000B734D" w:rsidP="008D6F82">
      <w:pPr>
        <w:spacing w:after="0" w:line="360" w:lineRule="auto"/>
        <w:ind w:left="708" w:hanging="708"/>
        <w:rPr>
          <w:rFonts w:cstheme="minorHAnsi"/>
          <w:b/>
          <w:color w:val="000000" w:themeColor="text1"/>
          <w:lang w:val="en-US"/>
        </w:rPr>
      </w:pPr>
      <w:r w:rsidRPr="00156087">
        <w:rPr>
          <w:rFonts w:cstheme="minorHAnsi"/>
          <w:b/>
          <w:color w:val="000000" w:themeColor="text1"/>
          <w:lang w:val="en-US"/>
        </w:rPr>
        <w:t xml:space="preserve">1. </w:t>
      </w:r>
      <w:r w:rsidR="00643FD2" w:rsidRPr="00156087">
        <w:rPr>
          <w:rFonts w:cstheme="minorHAnsi"/>
          <w:b/>
          <w:color w:val="000000" w:themeColor="text1"/>
          <w:lang w:val="en-US"/>
        </w:rPr>
        <w:t>B</w:t>
      </w:r>
      <w:r w:rsidR="00EC2740" w:rsidRPr="00156087">
        <w:rPr>
          <w:rFonts w:cstheme="minorHAnsi"/>
          <w:b/>
          <w:color w:val="000000" w:themeColor="text1"/>
          <w:lang w:val="en-US"/>
        </w:rPr>
        <w:t>ackground</w:t>
      </w:r>
    </w:p>
    <w:p w14:paraId="127D696B" w14:textId="452B512E" w:rsidR="00E61DB0" w:rsidRPr="00156087" w:rsidRDefault="006D4F64" w:rsidP="008D6F82">
      <w:pPr>
        <w:spacing w:after="0" w:line="360" w:lineRule="auto"/>
        <w:rPr>
          <w:rFonts w:cstheme="minorHAnsi"/>
          <w:color w:val="000000" w:themeColor="text1"/>
          <w:lang w:val="en-US"/>
        </w:rPr>
      </w:pPr>
      <w:r w:rsidRPr="00156087">
        <w:rPr>
          <w:rFonts w:cstheme="minorHAnsi"/>
          <w:color w:val="000000" w:themeColor="text1"/>
          <w:lang w:val="en-US"/>
        </w:rPr>
        <w:t>An i</w:t>
      </w:r>
      <w:r w:rsidR="00FD52D5" w:rsidRPr="00156087">
        <w:rPr>
          <w:rFonts w:cstheme="minorHAnsi"/>
          <w:color w:val="000000" w:themeColor="text1"/>
          <w:lang w:val="en-US"/>
        </w:rPr>
        <w:t>ncreasing number of patients survive cancers in childhood and adolescence</w:t>
      </w:r>
      <w:r w:rsidR="000A20F6" w:rsidRPr="00156087">
        <w:rPr>
          <w:rFonts w:cstheme="minorHAnsi"/>
          <w:color w:val="000000" w:themeColor="text1"/>
          <w:lang w:val="en-US"/>
        </w:rPr>
        <w:t xml:space="preserve"> </w:t>
      </w:r>
      <w:r w:rsidR="00553C26">
        <w:rPr>
          <w:rFonts w:cstheme="minorHAnsi"/>
          <w:noProof/>
          <w:color w:val="000000" w:themeColor="text1"/>
          <w:lang w:val="en-US"/>
        </w:rPr>
        <w:t>[16-18;32]</w:t>
      </w:r>
      <w:r w:rsidR="00FD52D5" w:rsidRPr="00156087">
        <w:rPr>
          <w:rFonts w:cstheme="minorHAnsi"/>
          <w:color w:val="000000" w:themeColor="text1"/>
          <w:lang w:val="en-US"/>
        </w:rPr>
        <w:t xml:space="preserve">. From </w:t>
      </w:r>
      <w:r w:rsidR="00D03891" w:rsidRPr="00156087">
        <w:rPr>
          <w:rFonts w:cstheme="minorHAnsi"/>
          <w:color w:val="000000" w:themeColor="text1"/>
          <w:lang w:val="en-US"/>
        </w:rPr>
        <w:t>cancers</w:t>
      </w:r>
      <w:r w:rsidR="00FD52D5" w:rsidRPr="00156087">
        <w:rPr>
          <w:rFonts w:cstheme="minorHAnsi"/>
          <w:color w:val="000000" w:themeColor="text1"/>
          <w:lang w:val="en-US"/>
        </w:rPr>
        <w:t xml:space="preserve"> </w:t>
      </w:r>
      <w:r w:rsidR="00415CD5" w:rsidRPr="00156087">
        <w:rPr>
          <w:rFonts w:cstheme="minorHAnsi"/>
          <w:color w:val="000000" w:themeColor="text1"/>
          <w:lang w:val="en-US"/>
        </w:rPr>
        <w:t xml:space="preserve">in adulthood, </w:t>
      </w:r>
      <w:r w:rsidR="00FD52D5" w:rsidRPr="00156087">
        <w:rPr>
          <w:rFonts w:cstheme="minorHAnsi"/>
          <w:color w:val="000000" w:themeColor="text1"/>
          <w:lang w:val="en-US"/>
        </w:rPr>
        <w:t xml:space="preserve">it is well documented that long-term survivors have </w:t>
      </w:r>
      <w:r w:rsidR="00D03891" w:rsidRPr="00156087">
        <w:rPr>
          <w:rFonts w:cstheme="minorHAnsi"/>
          <w:color w:val="000000" w:themeColor="text1"/>
          <w:lang w:val="en-US"/>
        </w:rPr>
        <w:t>higher</w:t>
      </w:r>
      <w:r w:rsidR="00FD52D5" w:rsidRPr="00156087">
        <w:rPr>
          <w:rFonts w:cstheme="minorHAnsi"/>
          <w:color w:val="000000" w:themeColor="text1"/>
          <w:lang w:val="en-US"/>
        </w:rPr>
        <w:t xml:space="preserve"> prevalence of pain</w:t>
      </w:r>
      <w:r w:rsidR="00510EDA" w:rsidRPr="00156087">
        <w:rPr>
          <w:rFonts w:cstheme="minorHAnsi"/>
          <w:color w:val="000000" w:themeColor="text1"/>
          <w:lang w:val="en-US"/>
        </w:rPr>
        <w:t xml:space="preserve"> </w:t>
      </w:r>
      <w:r w:rsidR="00553C26">
        <w:rPr>
          <w:rFonts w:cstheme="minorHAnsi"/>
          <w:noProof/>
          <w:color w:val="000000" w:themeColor="text1"/>
          <w:lang w:val="en-US"/>
        </w:rPr>
        <w:t>[21;40]</w:t>
      </w:r>
      <w:r w:rsidR="00FD52D5" w:rsidRPr="00156087">
        <w:rPr>
          <w:rFonts w:cstheme="minorHAnsi"/>
          <w:color w:val="000000" w:themeColor="text1"/>
          <w:lang w:val="en-US"/>
        </w:rPr>
        <w:t xml:space="preserve"> and </w:t>
      </w:r>
      <w:r w:rsidR="00DD0362" w:rsidRPr="00156087">
        <w:rPr>
          <w:rFonts w:cstheme="minorHAnsi"/>
          <w:color w:val="000000" w:themeColor="text1"/>
          <w:lang w:val="en-US"/>
        </w:rPr>
        <w:t>consumption of</w:t>
      </w:r>
      <w:r w:rsidR="00FD52D5" w:rsidRPr="00156087">
        <w:rPr>
          <w:rFonts w:cstheme="minorHAnsi"/>
          <w:color w:val="000000" w:themeColor="text1"/>
          <w:lang w:val="en-US"/>
        </w:rPr>
        <w:t xml:space="preserve"> analgesics compared to the general population</w:t>
      </w:r>
      <w:r w:rsidR="00B852FB" w:rsidRPr="00156087">
        <w:rPr>
          <w:rFonts w:cstheme="minorHAnsi"/>
          <w:color w:val="000000" w:themeColor="text1"/>
          <w:lang w:val="en-US"/>
        </w:rPr>
        <w:t xml:space="preserve"> </w:t>
      </w:r>
      <w:r w:rsidR="00553C26">
        <w:rPr>
          <w:rFonts w:cstheme="minorHAnsi"/>
          <w:noProof/>
          <w:color w:val="000000" w:themeColor="text1"/>
          <w:lang w:val="en-US"/>
        </w:rPr>
        <w:t>[15]</w:t>
      </w:r>
      <w:r w:rsidR="00FD52D5" w:rsidRPr="00156087">
        <w:rPr>
          <w:rFonts w:cstheme="minorHAnsi"/>
          <w:color w:val="000000" w:themeColor="text1"/>
          <w:lang w:val="en-US"/>
        </w:rPr>
        <w:t>. Th</w:t>
      </w:r>
      <w:r w:rsidR="00D03891" w:rsidRPr="00156087">
        <w:rPr>
          <w:rFonts w:cstheme="minorHAnsi"/>
          <w:color w:val="000000" w:themeColor="text1"/>
          <w:lang w:val="en-US"/>
        </w:rPr>
        <w:t>e</w:t>
      </w:r>
      <w:r w:rsidR="00FD52D5" w:rsidRPr="00156087">
        <w:rPr>
          <w:rFonts w:cstheme="minorHAnsi"/>
          <w:color w:val="000000" w:themeColor="text1"/>
          <w:lang w:val="en-US"/>
        </w:rPr>
        <w:t xml:space="preserve"> </w:t>
      </w:r>
      <w:r w:rsidR="00195BFE" w:rsidRPr="00156087">
        <w:rPr>
          <w:rFonts w:cstheme="minorHAnsi"/>
          <w:color w:val="000000" w:themeColor="text1"/>
          <w:lang w:val="en-US"/>
        </w:rPr>
        <w:t>increased</w:t>
      </w:r>
      <w:r w:rsidR="00FD52D5" w:rsidRPr="00156087">
        <w:rPr>
          <w:rFonts w:cstheme="minorHAnsi"/>
          <w:color w:val="000000" w:themeColor="text1"/>
          <w:lang w:val="en-US"/>
        </w:rPr>
        <w:t xml:space="preserve"> prevalence of pain and analgesic use </w:t>
      </w:r>
      <w:r w:rsidR="00E61DB0" w:rsidRPr="00156087">
        <w:rPr>
          <w:rFonts w:cstheme="minorHAnsi"/>
          <w:color w:val="000000" w:themeColor="text1"/>
          <w:lang w:val="en-US"/>
        </w:rPr>
        <w:t xml:space="preserve">in long-term survivors of cancer </w:t>
      </w:r>
      <w:r w:rsidR="00EA1C3C" w:rsidRPr="00156087">
        <w:rPr>
          <w:rFonts w:cstheme="minorHAnsi"/>
          <w:color w:val="000000" w:themeColor="text1"/>
          <w:lang w:val="en-US"/>
        </w:rPr>
        <w:t xml:space="preserve">is often </w:t>
      </w:r>
      <w:r w:rsidR="00FD52D5" w:rsidRPr="00156087">
        <w:rPr>
          <w:rFonts w:cstheme="minorHAnsi"/>
          <w:color w:val="000000" w:themeColor="text1"/>
          <w:lang w:val="en-US"/>
        </w:rPr>
        <w:t xml:space="preserve">a result of </w:t>
      </w:r>
      <w:r w:rsidR="00E61DB0" w:rsidRPr="00156087">
        <w:rPr>
          <w:rFonts w:cstheme="minorHAnsi"/>
          <w:color w:val="000000" w:themeColor="text1"/>
          <w:lang w:val="en-US"/>
        </w:rPr>
        <w:t>cancer treatment</w:t>
      </w:r>
      <w:r w:rsidR="00D9177C" w:rsidRPr="00156087">
        <w:rPr>
          <w:rFonts w:cstheme="minorHAnsi"/>
          <w:color w:val="000000" w:themeColor="text1"/>
          <w:lang w:val="en-US"/>
        </w:rPr>
        <w:t xml:space="preserve"> such</w:t>
      </w:r>
      <w:r w:rsidR="00E61DB0" w:rsidRPr="00156087">
        <w:rPr>
          <w:rFonts w:cstheme="minorHAnsi"/>
          <w:color w:val="000000" w:themeColor="text1"/>
          <w:lang w:val="en-US"/>
        </w:rPr>
        <w:t xml:space="preserve"> </w:t>
      </w:r>
      <w:r w:rsidR="00D03891" w:rsidRPr="00156087">
        <w:rPr>
          <w:rFonts w:cstheme="minorHAnsi"/>
          <w:color w:val="000000" w:themeColor="text1"/>
          <w:lang w:val="en-US"/>
        </w:rPr>
        <w:t>as</w:t>
      </w:r>
      <w:r w:rsidR="00826485" w:rsidRPr="00156087">
        <w:rPr>
          <w:rFonts w:cstheme="minorHAnsi"/>
          <w:color w:val="000000" w:themeColor="text1"/>
          <w:lang w:val="en-US"/>
        </w:rPr>
        <w:t xml:space="preserve"> </w:t>
      </w:r>
      <w:r w:rsidR="00E61DB0" w:rsidRPr="00156087">
        <w:rPr>
          <w:rFonts w:cstheme="minorHAnsi"/>
          <w:color w:val="000000" w:themeColor="text1"/>
          <w:lang w:val="en-US"/>
        </w:rPr>
        <w:t>chemotherapy, surgery and radiotherapy</w:t>
      </w:r>
      <w:r w:rsidR="00D03891" w:rsidRPr="00156087">
        <w:rPr>
          <w:rFonts w:cstheme="minorHAnsi"/>
          <w:color w:val="000000" w:themeColor="text1"/>
          <w:lang w:val="en-US"/>
        </w:rPr>
        <w:t>, which</w:t>
      </w:r>
      <w:r w:rsidR="00E61DB0" w:rsidRPr="00156087">
        <w:rPr>
          <w:rFonts w:cstheme="minorHAnsi"/>
          <w:color w:val="000000" w:themeColor="text1"/>
          <w:lang w:val="en-US"/>
        </w:rPr>
        <w:t xml:space="preserve"> can cause chronic pain, often with a substantial neuropathic component </w:t>
      </w:r>
      <w:r w:rsidR="00553C26">
        <w:rPr>
          <w:rFonts w:cstheme="minorHAnsi"/>
          <w:noProof/>
          <w:color w:val="000000" w:themeColor="text1"/>
          <w:lang w:val="en-US"/>
        </w:rPr>
        <w:t>[30;41]</w:t>
      </w:r>
      <w:r w:rsidR="00E61DB0" w:rsidRPr="00156087">
        <w:rPr>
          <w:rFonts w:cstheme="minorHAnsi"/>
          <w:color w:val="000000" w:themeColor="text1"/>
          <w:lang w:val="en-US"/>
        </w:rPr>
        <w:t xml:space="preserve">. </w:t>
      </w:r>
    </w:p>
    <w:p w14:paraId="326F9408" w14:textId="77777777" w:rsidR="008D6F82" w:rsidRPr="00156087" w:rsidRDefault="008D6F82" w:rsidP="008D6F82">
      <w:pPr>
        <w:spacing w:after="0" w:line="360" w:lineRule="auto"/>
        <w:rPr>
          <w:rFonts w:cstheme="minorHAnsi"/>
          <w:color w:val="000000" w:themeColor="text1"/>
          <w:lang w:val="en-US"/>
        </w:rPr>
      </w:pPr>
    </w:p>
    <w:p w14:paraId="3D7DDD89" w14:textId="1EA77F53" w:rsidR="00D9177C" w:rsidRPr="00156087" w:rsidRDefault="00997740" w:rsidP="008D6F82">
      <w:pPr>
        <w:spacing w:after="0" w:line="360" w:lineRule="auto"/>
        <w:rPr>
          <w:rFonts w:cstheme="minorHAnsi"/>
          <w:color w:val="000000" w:themeColor="text1"/>
          <w:lang w:val="en-US"/>
        </w:rPr>
      </w:pPr>
      <w:r w:rsidRPr="00156087">
        <w:rPr>
          <w:rFonts w:cstheme="minorHAnsi"/>
          <w:color w:val="000000" w:themeColor="text1"/>
          <w:lang w:val="en-US"/>
        </w:rPr>
        <w:t>Chronic p</w:t>
      </w:r>
      <w:r w:rsidR="005274C9" w:rsidRPr="00156087">
        <w:rPr>
          <w:rFonts w:cstheme="minorHAnsi"/>
          <w:color w:val="000000" w:themeColor="text1"/>
          <w:lang w:val="en-US"/>
        </w:rPr>
        <w:t xml:space="preserve">ain has also been an issue of concern in long-term survivors of cancer in the childhood and adolescence. However, it has not been </w:t>
      </w:r>
      <w:r w:rsidRPr="00156087">
        <w:rPr>
          <w:rFonts w:cstheme="minorHAnsi"/>
          <w:color w:val="000000" w:themeColor="text1"/>
          <w:lang w:val="en-US"/>
        </w:rPr>
        <w:t>well-</w:t>
      </w:r>
      <w:r w:rsidR="005274C9" w:rsidRPr="00156087">
        <w:rPr>
          <w:rFonts w:cstheme="minorHAnsi"/>
          <w:color w:val="000000" w:themeColor="text1"/>
          <w:lang w:val="en-US"/>
        </w:rPr>
        <w:t xml:space="preserve">established whether this group has increased prevalence of pain compared to the general population </w:t>
      </w:r>
      <w:r w:rsidR="00210A79" w:rsidRPr="00156087">
        <w:rPr>
          <w:rFonts w:cstheme="minorHAnsi"/>
          <w:noProof/>
          <w:color w:val="000000" w:themeColor="text1"/>
          <w:lang w:val="en-US"/>
        </w:rPr>
        <w:t>[1]</w:t>
      </w:r>
      <w:r w:rsidR="005274C9" w:rsidRPr="00156087">
        <w:rPr>
          <w:rFonts w:cstheme="minorHAnsi"/>
          <w:color w:val="000000" w:themeColor="text1"/>
          <w:lang w:val="en-US"/>
        </w:rPr>
        <w:t xml:space="preserve">. </w:t>
      </w:r>
      <w:r w:rsidR="006D4F64" w:rsidRPr="00156087">
        <w:rPr>
          <w:rFonts w:cstheme="minorHAnsi"/>
          <w:color w:val="000000" w:themeColor="text1"/>
          <w:lang w:val="en-US"/>
        </w:rPr>
        <w:t>F</w:t>
      </w:r>
      <w:r w:rsidRPr="00156087">
        <w:rPr>
          <w:rFonts w:cstheme="minorHAnsi"/>
          <w:color w:val="000000" w:themeColor="text1"/>
          <w:lang w:val="en-US"/>
        </w:rPr>
        <w:t xml:space="preserve">indings </w:t>
      </w:r>
      <w:r w:rsidR="006D4F64" w:rsidRPr="00156087">
        <w:rPr>
          <w:rFonts w:cstheme="minorHAnsi"/>
          <w:color w:val="000000" w:themeColor="text1"/>
          <w:lang w:val="en-US"/>
        </w:rPr>
        <w:t xml:space="preserve">have been </w:t>
      </w:r>
      <w:r w:rsidRPr="00156087">
        <w:rPr>
          <w:rFonts w:cstheme="minorHAnsi"/>
          <w:color w:val="000000" w:themeColor="text1"/>
          <w:lang w:val="en-US"/>
        </w:rPr>
        <w:t>inconsistent and</w:t>
      </w:r>
      <w:r w:rsidR="002D49AC" w:rsidRPr="00156087">
        <w:rPr>
          <w:rFonts w:cstheme="minorHAnsi"/>
          <w:color w:val="000000" w:themeColor="text1"/>
          <w:lang w:val="en-US"/>
        </w:rPr>
        <w:t xml:space="preserve"> had </w:t>
      </w:r>
      <w:r w:rsidR="00101693" w:rsidRPr="00156087">
        <w:rPr>
          <w:rFonts w:cstheme="minorHAnsi"/>
          <w:color w:val="000000" w:themeColor="text1"/>
          <w:lang w:val="en-US"/>
        </w:rPr>
        <w:t>limitations regarding</w:t>
      </w:r>
      <w:r w:rsidR="002D49AC" w:rsidRPr="00156087">
        <w:rPr>
          <w:rFonts w:cstheme="minorHAnsi"/>
          <w:color w:val="000000" w:themeColor="text1"/>
          <w:lang w:val="en-US"/>
        </w:rPr>
        <w:t xml:space="preserve"> case definitions, pain assessment and </w:t>
      </w:r>
      <w:r w:rsidR="00D9177C" w:rsidRPr="00156087">
        <w:rPr>
          <w:rFonts w:cstheme="minorHAnsi"/>
          <w:color w:val="000000" w:themeColor="text1"/>
          <w:lang w:val="en-US"/>
        </w:rPr>
        <w:t xml:space="preserve">age- and gender adjusted </w:t>
      </w:r>
      <w:r w:rsidR="002D49AC" w:rsidRPr="00156087">
        <w:rPr>
          <w:rFonts w:cstheme="minorHAnsi"/>
          <w:color w:val="000000" w:themeColor="text1"/>
          <w:lang w:val="en-US"/>
        </w:rPr>
        <w:t>comparison</w:t>
      </w:r>
      <w:r w:rsidR="00D9177C" w:rsidRPr="00156087">
        <w:rPr>
          <w:rFonts w:cstheme="minorHAnsi"/>
          <w:color w:val="000000" w:themeColor="text1"/>
          <w:lang w:val="en-US"/>
        </w:rPr>
        <w:t>s</w:t>
      </w:r>
      <w:r w:rsidR="002D49AC" w:rsidRPr="00156087">
        <w:rPr>
          <w:rFonts w:cstheme="minorHAnsi"/>
          <w:color w:val="000000" w:themeColor="text1"/>
          <w:lang w:val="en-US"/>
        </w:rPr>
        <w:t xml:space="preserve"> to</w:t>
      </w:r>
      <w:r w:rsidRPr="00156087">
        <w:rPr>
          <w:rFonts w:cstheme="minorHAnsi"/>
          <w:color w:val="000000" w:themeColor="text1"/>
          <w:lang w:val="en-US"/>
        </w:rPr>
        <w:t xml:space="preserve"> the</w:t>
      </w:r>
      <w:r w:rsidR="002D49AC" w:rsidRPr="00156087">
        <w:rPr>
          <w:rFonts w:cstheme="minorHAnsi"/>
          <w:color w:val="000000" w:themeColor="text1"/>
          <w:lang w:val="en-US"/>
        </w:rPr>
        <w:t xml:space="preserve"> general population</w:t>
      </w:r>
      <w:r w:rsidR="00826485" w:rsidRPr="00156087">
        <w:rPr>
          <w:rFonts w:cstheme="minorHAnsi"/>
          <w:color w:val="000000" w:themeColor="text1"/>
          <w:lang w:val="en-US"/>
        </w:rPr>
        <w:t xml:space="preserve"> </w:t>
      </w:r>
      <w:r w:rsidR="00553C26">
        <w:rPr>
          <w:rFonts w:cstheme="minorHAnsi"/>
          <w:noProof/>
          <w:color w:val="000000" w:themeColor="text1"/>
          <w:lang w:val="en-US"/>
        </w:rPr>
        <w:t>[1;31]</w:t>
      </w:r>
      <w:r w:rsidR="00E61DB0" w:rsidRPr="00156087">
        <w:rPr>
          <w:rFonts w:cstheme="minorHAnsi"/>
          <w:color w:val="000000" w:themeColor="text1"/>
          <w:lang w:val="en-US"/>
        </w:rPr>
        <w:t xml:space="preserve">. </w:t>
      </w:r>
      <w:r w:rsidR="003D4814" w:rsidRPr="00156087">
        <w:rPr>
          <w:rFonts w:cstheme="minorHAnsi"/>
          <w:color w:val="000000" w:themeColor="text1"/>
          <w:lang w:val="en-US"/>
        </w:rPr>
        <w:t xml:space="preserve">Even though </w:t>
      </w:r>
      <w:r w:rsidR="00856C07" w:rsidRPr="00156087">
        <w:rPr>
          <w:rFonts w:cstheme="minorHAnsi"/>
          <w:color w:val="000000" w:themeColor="text1"/>
          <w:lang w:val="en-US"/>
        </w:rPr>
        <w:t xml:space="preserve">the findings regarding pain in long term survivors of cancer in the childhood and adolescence have been conflicting, an odds ratio of 1.36 for self-reported use of opioids was found in a previous study from the United States </w:t>
      </w:r>
      <w:r w:rsidR="00BE0C63" w:rsidRPr="00156087">
        <w:rPr>
          <w:rFonts w:cstheme="minorHAnsi"/>
          <w:noProof/>
          <w:color w:val="000000" w:themeColor="text1"/>
          <w:lang w:val="en-US"/>
        </w:rPr>
        <w:t>[5]</w:t>
      </w:r>
      <w:r w:rsidR="00BE0C63" w:rsidRPr="00156087">
        <w:rPr>
          <w:rFonts w:cstheme="minorHAnsi"/>
          <w:color w:val="000000" w:themeColor="text1"/>
          <w:lang w:val="en-US"/>
        </w:rPr>
        <w:t>.</w:t>
      </w:r>
    </w:p>
    <w:p w14:paraId="4A99D3D1" w14:textId="77777777" w:rsidR="008D6F82" w:rsidRPr="00156087" w:rsidRDefault="008D6F82" w:rsidP="008D6F82">
      <w:pPr>
        <w:spacing w:after="0" w:line="360" w:lineRule="auto"/>
        <w:rPr>
          <w:rFonts w:cstheme="minorHAnsi"/>
          <w:color w:val="000000" w:themeColor="text1"/>
          <w:lang w:val="en-US"/>
        </w:rPr>
      </w:pPr>
    </w:p>
    <w:p w14:paraId="7041D62E" w14:textId="38ACA07C" w:rsidR="00E61DB0" w:rsidRPr="00156087" w:rsidRDefault="00D7041A" w:rsidP="008D6F82">
      <w:pPr>
        <w:spacing w:after="0" w:line="360" w:lineRule="auto"/>
        <w:rPr>
          <w:rFonts w:cstheme="minorHAnsi"/>
          <w:color w:val="000000" w:themeColor="text1"/>
          <w:lang w:val="en-US"/>
        </w:rPr>
      </w:pPr>
      <w:r w:rsidRPr="00156087">
        <w:rPr>
          <w:rFonts w:cstheme="minorHAnsi"/>
          <w:color w:val="000000" w:themeColor="text1"/>
          <w:lang w:val="en-US"/>
        </w:rPr>
        <w:t xml:space="preserve">Patients </w:t>
      </w:r>
      <w:r w:rsidR="00C500EA" w:rsidRPr="00156087">
        <w:rPr>
          <w:rFonts w:cstheme="minorHAnsi"/>
          <w:color w:val="000000" w:themeColor="text1"/>
          <w:lang w:val="en-US"/>
        </w:rPr>
        <w:t xml:space="preserve">surviving </w:t>
      </w:r>
      <w:r w:rsidRPr="00156087">
        <w:rPr>
          <w:rFonts w:cstheme="minorHAnsi"/>
          <w:color w:val="000000" w:themeColor="text1"/>
          <w:lang w:val="en-US"/>
        </w:rPr>
        <w:t xml:space="preserve">cancer in early adulthood </w:t>
      </w:r>
      <w:r w:rsidR="000C6C6E" w:rsidRPr="00156087">
        <w:rPr>
          <w:rFonts w:cstheme="minorHAnsi"/>
          <w:color w:val="000000" w:themeColor="text1"/>
          <w:lang w:val="en-US"/>
        </w:rPr>
        <w:t xml:space="preserve">share the long-term expected survival after curative treatment with those being diagnosed with cancer in childhood and adolescence. Furthermore, they </w:t>
      </w:r>
      <w:r w:rsidRPr="00156087">
        <w:rPr>
          <w:rFonts w:cstheme="minorHAnsi"/>
          <w:color w:val="000000" w:themeColor="text1"/>
          <w:lang w:val="en-US"/>
        </w:rPr>
        <w:t xml:space="preserve">differ from other adult cancer </w:t>
      </w:r>
      <w:r w:rsidR="00195BFE" w:rsidRPr="00156087">
        <w:rPr>
          <w:rFonts w:cstheme="minorHAnsi"/>
          <w:color w:val="000000" w:themeColor="text1"/>
          <w:lang w:val="en-US"/>
        </w:rPr>
        <w:t>survivors</w:t>
      </w:r>
      <w:r w:rsidRPr="00156087">
        <w:rPr>
          <w:rFonts w:cstheme="minorHAnsi"/>
          <w:color w:val="000000" w:themeColor="text1"/>
          <w:lang w:val="en-US"/>
        </w:rPr>
        <w:t xml:space="preserve"> </w:t>
      </w:r>
      <w:r w:rsidR="00C500EA" w:rsidRPr="00156087">
        <w:rPr>
          <w:rFonts w:cstheme="minorHAnsi"/>
          <w:color w:val="000000" w:themeColor="text1"/>
          <w:lang w:val="en-US"/>
        </w:rPr>
        <w:t>in terms of cancer diagnos</w:t>
      </w:r>
      <w:r w:rsidR="005B6C0E" w:rsidRPr="00156087">
        <w:rPr>
          <w:rFonts w:cstheme="minorHAnsi"/>
          <w:color w:val="000000" w:themeColor="text1"/>
          <w:lang w:val="en-US"/>
        </w:rPr>
        <w:t>e</w:t>
      </w:r>
      <w:r w:rsidR="00C500EA" w:rsidRPr="00156087">
        <w:rPr>
          <w:rFonts w:cstheme="minorHAnsi"/>
          <w:color w:val="000000" w:themeColor="text1"/>
          <w:lang w:val="en-US"/>
        </w:rPr>
        <w:t>s</w:t>
      </w:r>
      <w:r w:rsidR="00773C2F" w:rsidRPr="00156087">
        <w:rPr>
          <w:rFonts w:cstheme="minorHAnsi"/>
          <w:color w:val="000000" w:themeColor="text1"/>
          <w:lang w:val="en-US"/>
        </w:rPr>
        <w:t xml:space="preserve"> </w:t>
      </w:r>
      <w:r w:rsidR="00C500EA" w:rsidRPr="00156087">
        <w:rPr>
          <w:rFonts w:cstheme="minorHAnsi"/>
          <w:color w:val="000000" w:themeColor="text1"/>
          <w:lang w:val="en-US"/>
        </w:rPr>
        <w:t>and</w:t>
      </w:r>
      <w:r w:rsidR="005B6C0E" w:rsidRPr="00156087">
        <w:rPr>
          <w:rFonts w:cstheme="minorHAnsi"/>
          <w:color w:val="000000" w:themeColor="text1"/>
          <w:lang w:val="en-US"/>
        </w:rPr>
        <w:t xml:space="preserve"> psychosocial </w:t>
      </w:r>
      <w:r w:rsidR="00773C2F" w:rsidRPr="00156087">
        <w:rPr>
          <w:rFonts w:cstheme="minorHAnsi"/>
          <w:color w:val="000000" w:themeColor="text1"/>
          <w:lang w:val="en-US"/>
        </w:rPr>
        <w:t>status</w:t>
      </w:r>
      <w:r w:rsidR="003E2042" w:rsidRPr="00156087">
        <w:rPr>
          <w:rFonts w:cstheme="minorHAnsi"/>
          <w:color w:val="000000" w:themeColor="text1"/>
          <w:lang w:val="en-US"/>
        </w:rPr>
        <w:t xml:space="preserve">. Thus, it is relevant and common to include long-term survivors of </w:t>
      </w:r>
      <w:bookmarkStart w:id="0" w:name="_Hlk16422662"/>
      <w:r w:rsidR="003E2042" w:rsidRPr="00156087">
        <w:rPr>
          <w:rFonts w:cstheme="minorHAnsi"/>
          <w:color w:val="000000" w:themeColor="text1"/>
          <w:lang w:val="en-US"/>
        </w:rPr>
        <w:t>cancer in childhood, adolescence and early adulthood</w:t>
      </w:r>
      <w:bookmarkEnd w:id="0"/>
      <w:r w:rsidR="003E2042" w:rsidRPr="00156087">
        <w:rPr>
          <w:rFonts w:cstheme="minorHAnsi"/>
          <w:color w:val="000000" w:themeColor="text1"/>
          <w:lang w:val="en-US"/>
        </w:rPr>
        <w:t xml:space="preserve"> </w:t>
      </w:r>
      <w:r w:rsidR="008D04BD" w:rsidRPr="00156087">
        <w:rPr>
          <w:rFonts w:cstheme="minorHAnsi"/>
          <w:color w:val="000000" w:themeColor="text1"/>
          <w:lang w:val="en-US"/>
        </w:rPr>
        <w:t xml:space="preserve">(CAEA) </w:t>
      </w:r>
      <w:r w:rsidR="003E2042" w:rsidRPr="00156087">
        <w:rPr>
          <w:rFonts w:cstheme="minorHAnsi"/>
          <w:color w:val="000000" w:themeColor="text1"/>
          <w:lang w:val="en-US"/>
        </w:rPr>
        <w:t xml:space="preserve">in the same study </w:t>
      </w:r>
      <w:r w:rsidR="00553C26">
        <w:rPr>
          <w:rFonts w:cstheme="minorHAnsi"/>
          <w:noProof/>
          <w:color w:val="000000" w:themeColor="text1"/>
          <w:lang w:val="en-US"/>
        </w:rPr>
        <w:t>[34]</w:t>
      </w:r>
      <w:r w:rsidR="003E2042" w:rsidRPr="00156087">
        <w:rPr>
          <w:rFonts w:cstheme="minorHAnsi"/>
          <w:color w:val="000000" w:themeColor="text1"/>
          <w:lang w:val="en-US"/>
        </w:rPr>
        <w:t xml:space="preserve">. </w:t>
      </w:r>
    </w:p>
    <w:p w14:paraId="69AA7E4E" w14:textId="77777777" w:rsidR="00856C07" w:rsidRPr="00156087" w:rsidRDefault="00856C07" w:rsidP="008D6F82">
      <w:pPr>
        <w:spacing w:after="0" w:line="360" w:lineRule="auto"/>
        <w:rPr>
          <w:rFonts w:cstheme="minorHAnsi"/>
          <w:color w:val="000000" w:themeColor="text1"/>
          <w:lang w:val="en-US"/>
        </w:rPr>
      </w:pPr>
    </w:p>
    <w:p w14:paraId="5DDE7C7A" w14:textId="4E5F6837" w:rsidR="00567D83" w:rsidRPr="00DD26CD" w:rsidRDefault="00567D83" w:rsidP="008D6F82">
      <w:pPr>
        <w:spacing w:after="0" w:line="360" w:lineRule="auto"/>
        <w:rPr>
          <w:rFonts w:cstheme="minorHAnsi"/>
          <w:color w:val="FF0000"/>
          <w:lang w:val="en-US"/>
        </w:rPr>
      </w:pPr>
      <w:r w:rsidRPr="00156087">
        <w:rPr>
          <w:rFonts w:cstheme="minorHAnsi"/>
          <w:color w:val="000000" w:themeColor="text1"/>
          <w:lang w:val="en-US"/>
        </w:rPr>
        <w:t xml:space="preserve">Chronic pain in cancer survivors due to previous cancer treatment should be treated as chronic non-malignant pain, and opioids should be prescribed with caution and </w:t>
      </w:r>
      <w:r w:rsidR="00DE7F6B" w:rsidRPr="00156087">
        <w:rPr>
          <w:rFonts w:cstheme="minorHAnsi"/>
          <w:color w:val="000000" w:themeColor="text1"/>
          <w:lang w:val="en-US"/>
        </w:rPr>
        <w:t>according to guidelines</w:t>
      </w:r>
      <w:r w:rsidR="00584298" w:rsidRPr="00156087">
        <w:rPr>
          <w:rFonts w:cstheme="minorHAnsi"/>
          <w:color w:val="000000" w:themeColor="text1"/>
          <w:lang w:val="en-US"/>
        </w:rPr>
        <w:t xml:space="preserve"> </w:t>
      </w:r>
      <w:r w:rsidR="00553C26">
        <w:rPr>
          <w:rFonts w:cstheme="minorHAnsi"/>
          <w:noProof/>
          <w:color w:val="000000" w:themeColor="text1"/>
          <w:lang w:val="en-US"/>
        </w:rPr>
        <w:t>[9;36]</w:t>
      </w:r>
      <w:r w:rsidRPr="00156087">
        <w:rPr>
          <w:rFonts w:cstheme="minorHAnsi"/>
          <w:color w:val="000000" w:themeColor="text1"/>
          <w:lang w:val="en-US"/>
        </w:rPr>
        <w:t xml:space="preserve">. </w:t>
      </w:r>
      <w:r w:rsidR="009237A8" w:rsidRPr="00156087">
        <w:rPr>
          <w:rFonts w:cstheme="minorHAnsi"/>
          <w:color w:val="000000" w:themeColor="text1"/>
          <w:lang w:val="en-US"/>
        </w:rPr>
        <w:t xml:space="preserve">Specifically, the use of short acting opioids and co-medication with benzodiazepines are </w:t>
      </w:r>
      <w:r w:rsidR="000C7893" w:rsidRPr="00156087">
        <w:rPr>
          <w:rFonts w:cstheme="minorHAnsi"/>
          <w:color w:val="000000" w:themeColor="text1"/>
          <w:lang w:val="en-US"/>
        </w:rPr>
        <w:t xml:space="preserve">in conflict with </w:t>
      </w:r>
      <w:r w:rsidR="008D04BD" w:rsidRPr="00156087">
        <w:rPr>
          <w:rFonts w:cstheme="minorHAnsi"/>
          <w:color w:val="000000" w:themeColor="text1"/>
          <w:lang w:val="en-US"/>
        </w:rPr>
        <w:t xml:space="preserve">these </w:t>
      </w:r>
      <w:r w:rsidR="000C7893" w:rsidRPr="00156087">
        <w:rPr>
          <w:rFonts w:cstheme="minorHAnsi"/>
          <w:color w:val="000000" w:themeColor="text1"/>
          <w:lang w:val="en-US"/>
        </w:rPr>
        <w:t xml:space="preserve">guidelines due to risks of development of problematic opioid use and addictive </w:t>
      </w:r>
      <w:r w:rsidR="000C6C6E" w:rsidRPr="00156087">
        <w:rPr>
          <w:rFonts w:cstheme="minorHAnsi"/>
          <w:color w:val="000000" w:themeColor="text1"/>
          <w:lang w:val="en-US"/>
        </w:rPr>
        <w:t>behavior</w:t>
      </w:r>
      <w:r w:rsidR="00195BFE" w:rsidRPr="00156087">
        <w:rPr>
          <w:rFonts w:cstheme="minorHAnsi"/>
          <w:color w:val="000000" w:themeColor="text1"/>
          <w:lang w:val="en-US"/>
        </w:rPr>
        <w:t>,</w:t>
      </w:r>
      <w:r w:rsidR="000C7893" w:rsidRPr="00156087">
        <w:rPr>
          <w:rFonts w:cstheme="minorHAnsi"/>
          <w:color w:val="000000" w:themeColor="text1"/>
          <w:lang w:val="en-US"/>
        </w:rPr>
        <w:t xml:space="preserve"> and </w:t>
      </w:r>
      <w:r w:rsidRPr="00156087">
        <w:rPr>
          <w:rFonts w:cstheme="minorHAnsi"/>
          <w:color w:val="000000" w:themeColor="text1"/>
          <w:lang w:val="en-US"/>
        </w:rPr>
        <w:t xml:space="preserve">should </w:t>
      </w:r>
      <w:r w:rsidR="000C7893" w:rsidRPr="00156087">
        <w:rPr>
          <w:rFonts w:cstheme="minorHAnsi"/>
          <w:color w:val="000000" w:themeColor="text1"/>
          <w:lang w:val="en-US"/>
        </w:rPr>
        <w:t xml:space="preserve">thus </w:t>
      </w:r>
      <w:r w:rsidRPr="00156087">
        <w:rPr>
          <w:rFonts w:cstheme="minorHAnsi"/>
          <w:color w:val="000000" w:themeColor="text1"/>
          <w:lang w:val="en-US"/>
        </w:rPr>
        <w:t>be avoided</w:t>
      </w:r>
      <w:r w:rsidR="009937FD" w:rsidRPr="00156087">
        <w:rPr>
          <w:rFonts w:cstheme="minorHAnsi"/>
          <w:color w:val="000000" w:themeColor="text1"/>
          <w:lang w:val="en-US"/>
        </w:rPr>
        <w:t xml:space="preserve"> </w:t>
      </w:r>
      <w:r w:rsidR="00553C26">
        <w:rPr>
          <w:rFonts w:cstheme="minorHAnsi"/>
          <w:noProof/>
          <w:color w:val="000000" w:themeColor="text1"/>
          <w:lang w:val="en-US"/>
        </w:rPr>
        <w:t>[9;37;39]</w:t>
      </w:r>
      <w:r w:rsidR="000C7893" w:rsidRPr="00156087">
        <w:rPr>
          <w:rFonts w:cstheme="minorHAnsi"/>
          <w:color w:val="000000" w:themeColor="text1"/>
          <w:lang w:val="en-US"/>
        </w:rPr>
        <w:t>.</w:t>
      </w:r>
      <w:r w:rsidR="00F70178">
        <w:rPr>
          <w:rFonts w:cstheme="minorHAnsi"/>
          <w:color w:val="000000" w:themeColor="text1"/>
          <w:lang w:val="en-US"/>
        </w:rPr>
        <w:t xml:space="preserve"> </w:t>
      </w:r>
    </w:p>
    <w:p w14:paraId="6CA3652E" w14:textId="77777777" w:rsidR="008D6F82" w:rsidRPr="00156087" w:rsidRDefault="008D6F82" w:rsidP="008D6F82">
      <w:pPr>
        <w:spacing w:after="0" w:line="360" w:lineRule="auto"/>
        <w:rPr>
          <w:rFonts w:cstheme="minorHAnsi"/>
          <w:color w:val="000000" w:themeColor="text1"/>
          <w:lang w:val="en-US"/>
        </w:rPr>
      </w:pPr>
    </w:p>
    <w:p w14:paraId="4C588F1E" w14:textId="14F6F083" w:rsidR="00387380" w:rsidRPr="00156087" w:rsidRDefault="0081627B" w:rsidP="008D6F82">
      <w:pPr>
        <w:spacing w:after="0" w:line="360" w:lineRule="auto"/>
        <w:rPr>
          <w:rFonts w:cstheme="minorHAnsi"/>
          <w:color w:val="000000" w:themeColor="text1"/>
          <w:lang w:val="en-US"/>
        </w:rPr>
      </w:pPr>
      <w:r w:rsidRPr="00156087">
        <w:rPr>
          <w:rFonts w:cstheme="minorHAnsi"/>
          <w:color w:val="000000" w:themeColor="text1"/>
          <w:lang w:val="en-US"/>
        </w:rPr>
        <w:t>R</w:t>
      </w:r>
      <w:r w:rsidR="00826485" w:rsidRPr="00156087">
        <w:rPr>
          <w:rFonts w:cstheme="minorHAnsi"/>
          <w:color w:val="000000" w:themeColor="text1"/>
          <w:lang w:val="en-US"/>
        </w:rPr>
        <w:t>ecent</w:t>
      </w:r>
      <w:r w:rsidRPr="00156087">
        <w:rPr>
          <w:rFonts w:cstheme="minorHAnsi"/>
          <w:color w:val="000000" w:themeColor="text1"/>
          <w:lang w:val="en-US"/>
        </w:rPr>
        <w:t>ly h</w:t>
      </w:r>
      <w:r w:rsidR="00826485" w:rsidRPr="00156087">
        <w:rPr>
          <w:rFonts w:cstheme="minorHAnsi"/>
          <w:color w:val="000000" w:themeColor="text1"/>
          <w:lang w:val="en-US"/>
        </w:rPr>
        <w:t>azard ratio</w:t>
      </w:r>
      <w:r w:rsidRPr="00156087">
        <w:rPr>
          <w:rFonts w:cstheme="minorHAnsi"/>
          <w:color w:val="000000" w:themeColor="text1"/>
          <w:lang w:val="en-US"/>
        </w:rPr>
        <w:t>s</w:t>
      </w:r>
      <w:r w:rsidR="00826485" w:rsidRPr="00156087">
        <w:rPr>
          <w:rFonts w:cstheme="minorHAnsi"/>
          <w:color w:val="000000" w:themeColor="text1"/>
          <w:lang w:val="en-US"/>
        </w:rPr>
        <w:t xml:space="preserve"> of 1.4 for receiving anxiolytics and hypnotics</w:t>
      </w:r>
      <w:r w:rsidR="00387380" w:rsidRPr="00156087">
        <w:rPr>
          <w:rFonts w:cstheme="minorHAnsi"/>
          <w:color w:val="000000" w:themeColor="text1"/>
          <w:lang w:val="en-US"/>
        </w:rPr>
        <w:t xml:space="preserve"> and </w:t>
      </w:r>
      <w:r w:rsidRPr="00156087">
        <w:rPr>
          <w:rFonts w:cstheme="minorHAnsi"/>
          <w:color w:val="000000" w:themeColor="text1"/>
          <w:lang w:val="en-US"/>
        </w:rPr>
        <w:t xml:space="preserve">of </w:t>
      </w:r>
      <w:r w:rsidR="00387380" w:rsidRPr="00156087">
        <w:rPr>
          <w:rFonts w:cstheme="minorHAnsi"/>
          <w:color w:val="000000" w:themeColor="text1"/>
          <w:lang w:val="en-US"/>
        </w:rPr>
        <w:t xml:space="preserve">1.2 </w:t>
      </w:r>
      <w:r w:rsidRPr="00156087">
        <w:rPr>
          <w:rFonts w:cstheme="minorHAnsi"/>
          <w:color w:val="000000" w:themeColor="text1"/>
          <w:lang w:val="en-US"/>
        </w:rPr>
        <w:t>for</w:t>
      </w:r>
      <w:r w:rsidR="00387380" w:rsidRPr="00156087">
        <w:rPr>
          <w:rFonts w:cstheme="minorHAnsi"/>
          <w:color w:val="000000" w:themeColor="text1"/>
          <w:lang w:val="en-US"/>
        </w:rPr>
        <w:t xml:space="preserve"> receiving antidepressants</w:t>
      </w:r>
      <w:r w:rsidR="000C7893" w:rsidRPr="00156087">
        <w:rPr>
          <w:rFonts w:cstheme="minorHAnsi"/>
          <w:color w:val="000000" w:themeColor="text1"/>
          <w:lang w:val="en-US"/>
        </w:rPr>
        <w:t xml:space="preserve"> </w:t>
      </w:r>
      <w:r w:rsidR="00826485" w:rsidRPr="00156087">
        <w:rPr>
          <w:rFonts w:cstheme="minorHAnsi"/>
          <w:color w:val="000000" w:themeColor="text1"/>
          <w:lang w:val="en-US"/>
        </w:rPr>
        <w:t>compared to</w:t>
      </w:r>
      <w:r w:rsidR="00CB34F9" w:rsidRPr="00156087">
        <w:rPr>
          <w:rFonts w:cstheme="minorHAnsi"/>
          <w:color w:val="000000" w:themeColor="text1"/>
          <w:lang w:val="en-US"/>
        </w:rPr>
        <w:t xml:space="preserve"> age and sex matched</w:t>
      </w:r>
      <w:r w:rsidR="00826485" w:rsidRPr="00156087">
        <w:rPr>
          <w:rFonts w:cstheme="minorHAnsi"/>
          <w:color w:val="000000" w:themeColor="text1"/>
          <w:lang w:val="en-US"/>
        </w:rPr>
        <w:t xml:space="preserve"> controls from the general population</w:t>
      </w:r>
      <w:r w:rsidRPr="00156087">
        <w:rPr>
          <w:rFonts w:cstheme="minorHAnsi"/>
          <w:color w:val="000000" w:themeColor="text1"/>
          <w:lang w:val="en-US"/>
        </w:rPr>
        <w:t xml:space="preserve"> have been reported </w:t>
      </w:r>
      <w:r w:rsidR="00553C26">
        <w:rPr>
          <w:rFonts w:cstheme="minorHAnsi"/>
          <w:noProof/>
          <w:color w:val="000000" w:themeColor="text1"/>
          <w:lang w:val="en-US"/>
        </w:rPr>
        <w:t>[27;28]</w:t>
      </w:r>
      <w:r w:rsidRPr="00156087">
        <w:rPr>
          <w:rFonts w:cstheme="minorHAnsi"/>
          <w:noProof/>
          <w:color w:val="000000" w:themeColor="text1"/>
          <w:lang w:val="en-US"/>
        </w:rPr>
        <w:t>. Based on these findings</w:t>
      </w:r>
      <w:r w:rsidR="00826485" w:rsidRPr="00156087">
        <w:rPr>
          <w:rFonts w:cstheme="minorHAnsi"/>
          <w:color w:val="000000" w:themeColor="text1"/>
          <w:lang w:val="en-US"/>
        </w:rPr>
        <w:t xml:space="preserve"> we hypothesize</w:t>
      </w:r>
      <w:r w:rsidR="004C69D0" w:rsidRPr="00156087">
        <w:rPr>
          <w:rFonts w:cstheme="minorHAnsi"/>
          <w:color w:val="000000" w:themeColor="text1"/>
          <w:lang w:val="en-US"/>
        </w:rPr>
        <w:t>d</w:t>
      </w:r>
      <w:r w:rsidR="00826485" w:rsidRPr="00156087">
        <w:rPr>
          <w:rFonts w:cstheme="minorHAnsi"/>
          <w:color w:val="000000" w:themeColor="text1"/>
          <w:lang w:val="en-US"/>
        </w:rPr>
        <w:t xml:space="preserve"> that the use of prescripti</w:t>
      </w:r>
      <w:r w:rsidR="004C69D0" w:rsidRPr="00156087">
        <w:rPr>
          <w:rFonts w:cstheme="minorHAnsi"/>
          <w:color w:val="000000" w:themeColor="text1"/>
          <w:lang w:val="en-US"/>
        </w:rPr>
        <w:t>o</w:t>
      </w:r>
      <w:r w:rsidR="00826485" w:rsidRPr="00156087">
        <w:rPr>
          <w:rFonts w:cstheme="minorHAnsi"/>
          <w:color w:val="000000" w:themeColor="text1"/>
          <w:lang w:val="en-US"/>
        </w:rPr>
        <w:t xml:space="preserve">n analgesics </w:t>
      </w:r>
      <w:r w:rsidR="004C69D0" w:rsidRPr="00156087">
        <w:rPr>
          <w:rFonts w:cstheme="minorHAnsi"/>
          <w:color w:val="000000" w:themeColor="text1"/>
          <w:lang w:val="en-US"/>
        </w:rPr>
        <w:t>was</w:t>
      </w:r>
      <w:r w:rsidR="00826485" w:rsidRPr="00156087">
        <w:rPr>
          <w:rFonts w:cstheme="minorHAnsi"/>
          <w:color w:val="000000" w:themeColor="text1"/>
          <w:lang w:val="en-US"/>
        </w:rPr>
        <w:t xml:space="preserve"> </w:t>
      </w:r>
      <w:r w:rsidR="008D04BD" w:rsidRPr="00156087">
        <w:rPr>
          <w:rFonts w:cstheme="minorHAnsi"/>
          <w:color w:val="000000" w:themeColor="text1"/>
          <w:lang w:val="en-US"/>
        </w:rPr>
        <w:t xml:space="preserve">also </w:t>
      </w:r>
      <w:r w:rsidR="00826485" w:rsidRPr="00156087">
        <w:rPr>
          <w:rFonts w:cstheme="minorHAnsi"/>
          <w:color w:val="000000" w:themeColor="text1"/>
          <w:lang w:val="en-US"/>
        </w:rPr>
        <w:t>increased in this group.</w:t>
      </w:r>
      <w:r w:rsidR="009D3D7E" w:rsidRPr="00156087">
        <w:rPr>
          <w:rFonts w:cstheme="minorHAnsi"/>
          <w:color w:val="000000" w:themeColor="text1"/>
          <w:lang w:val="en-US"/>
        </w:rPr>
        <w:t xml:space="preserve"> In populations of </w:t>
      </w:r>
      <w:r w:rsidR="00381A56" w:rsidRPr="00156087">
        <w:rPr>
          <w:rFonts w:cstheme="minorHAnsi"/>
          <w:color w:val="000000" w:themeColor="text1"/>
          <w:lang w:val="en-US"/>
        </w:rPr>
        <w:t xml:space="preserve">patients with </w:t>
      </w:r>
      <w:r w:rsidR="009D3D7E" w:rsidRPr="00156087">
        <w:rPr>
          <w:rFonts w:cstheme="minorHAnsi"/>
          <w:color w:val="000000" w:themeColor="text1"/>
          <w:lang w:val="en-US"/>
        </w:rPr>
        <w:t xml:space="preserve">chronic non-malignant pain and </w:t>
      </w:r>
      <w:r w:rsidR="00381A56" w:rsidRPr="00156087">
        <w:rPr>
          <w:rFonts w:cstheme="minorHAnsi"/>
          <w:color w:val="000000" w:themeColor="text1"/>
          <w:lang w:val="en-US"/>
        </w:rPr>
        <w:t xml:space="preserve">in </w:t>
      </w:r>
      <w:r w:rsidR="009D3D7E" w:rsidRPr="00156087">
        <w:rPr>
          <w:rFonts w:cstheme="minorHAnsi"/>
          <w:color w:val="000000" w:themeColor="text1"/>
          <w:lang w:val="en-US"/>
        </w:rPr>
        <w:t xml:space="preserve">long-term survivors of adulthood cancers, persistent users of opioids often co-medicate with benzodiazepines and/or benzodiazepine-related hypnotics </w:t>
      </w:r>
      <w:r w:rsidR="00553C26">
        <w:rPr>
          <w:rFonts w:cstheme="minorHAnsi"/>
          <w:noProof/>
          <w:color w:val="000000" w:themeColor="text1"/>
          <w:lang w:val="en-US"/>
        </w:rPr>
        <w:t>[15;33]</w:t>
      </w:r>
      <w:r w:rsidR="009D3D7E" w:rsidRPr="00156087">
        <w:rPr>
          <w:rFonts w:cstheme="minorHAnsi"/>
          <w:color w:val="000000" w:themeColor="text1"/>
          <w:lang w:val="en-US"/>
        </w:rPr>
        <w:t xml:space="preserve">. </w:t>
      </w:r>
      <w:r w:rsidR="00387380" w:rsidRPr="00156087">
        <w:rPr>
          <w:rFonts w:cstheme="minorHAnsi"/>
          <w:color w:val="000000" w:themeColor="text1"/>
          <w:lang w:val="en-US"/>
        </w:rPr>
        <w:t xml:space="preserve">If the hypothesis of increased use </w:t>
      </w:r>
      <w:r w:rsidR="00387380" w:rsidRPr="00156087">
        <w:rPr>
          <w:rFonts w:cstheme="minorHAnsi"/>
          <w:color w:val="000000" w:themeColor="text1"/>
          <w:lang w:val="en-US"/>
        </w:rPr>
        <w:lastRenderedPageBreak/>
        <w:t>of opioids in adult long-term s</w:t>
      </w:r>
      <w:r w:rsidR="00D7041A" w:rsidRPr="00156087">
        <w:rPr>
          <w:rFonts w:cstheme="minorHAnsi"/>
          <w:color w:val="000000" w:themeColor="text1"/>
          <w:lang w:val="en-US"/>
        </w:rPr>
        <w:t xml:space="preserve">urvivors of </w:t>
      </w:r>
      <w:bookmarkStart w:id="1" w:name="_Hlk12441641"/>
      <w:r w:rsidR="00B9286B" w:rsidRPr="00156087">
        <w:rPr>
          <w:rFonts w:cstheme="minorHAnsi"/>
          <w:color w:val="000000" w:themeColor="text1"/>
          <w:lang w:val="en-US"/>
        </w:rPr>
        <w:t xml:space="preserve">CAEA </w:t>
      </w:r>
      <w:bookmarkEnd w:id="1"/>
      <w:r w:rsidR="00387380" w:rsidRPr="00156087">
        <w:rPr>
          <w:rFonts w:cstheme="minorHAnsi"/>
          <w:color w:val="000000" w:themeColor="text1"/>
          <w:lang w:val="en-US"/>
        </w:rPr>
        <w:t>is confirmed, a</w:t>
      </w:r>
      <w:r w:rsidR="00CB34F9" w:rsidRPr="00156087">
        <w:rPr>
          <w:rFonts w:cstheme="minorHAnsi"/>
          <w:color w:val="000000" w:themeColor="text1"/>
          <w:lang w:val="en-US"/>
        </w:rPr>
        <w:t>n</w:t>
      </w:r>
      <w:r w:rsidR="00387380" w:rsidRPr="00156087">
        <w:rPr>
          <w:rFonts w:cstheme="minorHAnsi"/>
          <w:color w:val="000000" w:themeColor="text1"/>
          <w:lang w:val="en-US"/>
        </w:rPr>
        <w:t xml:space="preserve"> </w:t>
      </w:r>
      <w:r w:rsidR="00CB34F9" w:rsidRPr="00156087">
        <w:rPr>
          <w:rFonts w:cstheme="minorHAnsi"/>
          <w:color w:val="000000" w:themeColor="text1"/>
          <w:lang w:val="en-US"/>
        </w:rPr>
        <w:t>additional</w:t>
      </w:r>
      <w:r w:rsidR="00387380" w:rsidRPr="00156087">
        <w:rPr>
          <w:rFonts w:cstheme="minorHAnsi"/>
          <w:color w:val="000000" w:themeColor="text1"/>
          <w:lang w:val="en-US"/>
        </w:rPr>
        <w:t xml:space="preserve"> issue of concern </w:t>
      </w:r>
      <w:r w:rsidRPr="00156087">
        <w:rPr>
          <w:rFonts w:cstheme="minorHAnsi"/>
          <w:color w:val="000000" w:themeColor="text1"/>
          <w:lang w:val="en-US"/>
        </w:rPr>
        <w:t xml:space="preserve">is whether such co-medication is prevalent in this population. </w:t>
      </w:r>
      <w:r w:rsidR="00387380" w:rsidRPr="00156087">
        <w:rPr>
          <w:rFonts w:cstheme="minorHAnsi"/>
          <w:color w:val="000000" w:themeColor="text1"/>
          <w:lang w:val="en-US"/>
        </w:rPr>
        <w:t xml:space="preserve"> </w:t>
      </w:r>
    </w:p>
    <w:p w14:paraId="1451EAA3" w14:textId="77777777" w:rsidR="008D6F82" w:rsidRPr="00156087" w:rsidRDefault="008D6F82" w:rsidP="008D6F82">
      <w:pPr>
        <w:spacing w:after="0" w:line="360" w:lineRule="auto"/>
        <w:rPr>
          <w:rFonts w:cstheme="minorHAnsi"/>
          <w:color w:val="000000" w:themeColor="text1"/>
          <w:lang w:val="en-US"/>
        </w:rPr>
      </w:pPr>
    </w:p>
    <w:p w14:paraId="15947175" w14:textId="515B5B9E" w:rsidR="00567D83" w:rsidRPr="00156087" w:rsidRDefault="00826485" w:rsidP="008D6F82">
      <w:pPr>
        <w:spacing w:after="0" w:line="360" w:lineRule="auto"/>
        <w:rPr>
          <w:rFonts w:cstheme="minorHAnsi"/>
          <w:color w:val="000000" w:themeColor="text1"/>
          <w:lang w:val="en-US"/>
        </w:rPr>
      </w:pPr>
      <w:r w:rsidRPr="00156087">
        <w:rPr>
          <w:rFonts w:cstheme="minorHAnsi"/>
          <w:color w:val="000000" w:themeColor="text1"/>
          <w:lang w:val="en-US"/>
        </w:rPr>
        <w:t xml:space="preserve">The national Cancer Registry of Norway and the national Norwegian </w:t>
      </w:r>
      <w:r w:rsidR="000678E6" w:rsidRPr="00156087">
        <w:rPr>
          <w:rFonts w:cstheme="minorHAnsi"/>
          <w:color w:val="000000" w:themeColor="text1"/>
          <w:lang w:val="en-US"/>
        </w:rPr>
        <w:t>P</w:t>
      </w:r>
      <w:r w:rsidRPr="00156087">
        <w:rPr>
          <w:rFonts w:cstheme="minorHAnsi"/>
          <w:color w:val="000000" w:themeColor="text1"/>
          <w:lang w:val="en-US"/>
        </w:rPr>
        <w:t xml:space="preserve">rescription </w:t>
      </w:r>
      <w:r w:rsidR="000678E6" w:rsidRPr="00156087">
        <w:rPr>
          <w:rFonts w:cstheme="minorHAnsi"/>
          <w:color w:val="000000" w:themeColor="text1"/>
          <w:lang w:val="en-US"/>
        </w:rPr>
        <w:t>D</w:t>
      </w:r>
      <w:r w:rsidRPr="00156087">
        <w:rPr>
          <w:rFonts w:cstheme="minorHAnsi"/>
          <w:color w:val="000000" w:themeColor="text1"/>
          <w:lang w:val="en-US"/>
        </w:rPr>
        <w:t>atabase (</w:t>
      </w:r>
      <w:proofErr w:type="spellStart"/>
      <w:r w:rsidRPr="00156087">
        <w:rPr>
          <w:rFonts w:cstheme="minorHAnsi"/>
          <w:color w:val="000000" w:themeColor="text1"/>
          <w:lang w:val="en-US"/>
        </w:rPr>
        <w:t>NorPD</w:t>
      </w:r>
      <w:proofErr w:type="spellEnd"/>
      <w:r w:rsidRPr="00156087">
        <w:rPr>
          <w:rFonts w:cstheme="minorHAnsi"/>
          <w:color w:val="000000" w:themeColor="text1"/>
          <w:lang w:val="en-US"/>
        </w:rPr>
        <w:t>) offer a unique possibility for investigatin</w:t>
      </w:r>
      <w:r w:rsidR="00CB34F9" w:rsidRPr="00156087">
        <w:rPr>
          <w:rFonts w:cstheme="minorHAnsi"/>
          <w:color w:val="000000" w:themeColor="text1"/>
          <w:lang w:val="en-US"/>
        </w:rPr>
        <w:t>g</w:t>
      </w:r>
      <w:r w:rsidRPr="00156087">
        <w:rPr>
          <w:rFonts w:cstheme="minorHAnsi"/>
          <w:color w:val="000000" w:themeColor="text1"/>
          <w:lang w:val="en-US"/>
        </w:rPr>
        <w:t xml:space="preserve"> prescription patterns of drugs in a complete national cohort of long</w:t>
      </w:r>
      <w:r w:rsidR="004C69D0" w:rsidRPr="00156087">
        <w:rPr>
          <w:rFonts w:cstheme="minorHAnsi"/>
          <w:color w:val="000000" w:themeColor="text1"/>
          <w:lang w:val="en-US"/>
        </w:rPr>
        <w:t>-</w:t>
      </w:r>
      <w:r w:rsidRPr="00156087">
        <w:rPr>
          <w:rFonts w:cstheme="minorHAnsi"/>
          <w:color w:val="000000" w:themeColor="text1"/>
          <w:lang w:val="en-US"/>
        </w:rPr>
        <w:t>term surv</w:t>
      </w:r>
      <w:r w:rsidR="006B720A" w:rsidRPr="00156087">
        <w:rPr>
          <w:rFonts w:cstheme="minorHAnsi"/>
          <w:color w:val="000000" w:themeColor="text1"/>
          <w:lang w:val="en-US"/>
        </w:rPr>
        <w:t xml:space="preserve">ivors after cancer in </w:t>
      </w:r>
      <w:r w:rsidR="00B9286B" w:rsidRPr="00156087">
        <w:rPr>
          <w:rFonts w:cstheme="minorHAnsi"/>
          <w:color w:val="000000" w:themeColor="text1"/>
          <w:lang w:val="en-US"/>
        </w:rPr>
        <w:t>CAEA</w:t>
      </w:r>
      <w:r w:rsidRPr="00156087">
        <w:rPr>
          <w:rFonts w:cstheme="minorHAnsi"/>
          <w:color w:val="000000" w:themeColor="text1"/>
          <w:lang w:val="en-US"/>
        </w:rPr>
        <w:t xml:space="preserve">. </w:t>
      </w:r>
      <w:r w:rsidR="00056405" w:rsidRPr="00156087">
        <w:rPr>
          <w:rFonts w:cstheme="minorHAnsi"/>
          <w:color w:val="000000" w:themeColor="text1"/>
          <w:lang w:val="en-US"/>
        </w:rPr>
        <w:t>In</w:t>
      </w:r>
      <w:r w:rsidR="00567D83" w:rsidRPr="00156087">
        <w:rPr>
          <w:rFonts w:cstheme="minorHAnsi"/>
          <w:color w:val="000000" w:themeColor="text1"/>
          <w:lang w:val="en-US"/>
        </w:rPr>
        <w:t xml:space="preserve"> adult long</w:t>
      </w:r>
      <w:r w:rsidR="00056405" w:rsidRPr="00156087">
        <w:rPr>
          <w:rFonts w:cstheme="minorHAnsi"/>
          <w:color w:val="000000" w:themeColor="text1"/>
          <w:lang w:val="en-US"/>
        </w:rPr>
        <w:t>-</w:t>
      </w:r>
      <w:r w:rsidR="00567D83" w:rsidRPr="00156087">
        <w:rPr>
          <w:rFonts w:cstheme="minorHAnsi"/>
          <w:color w:val="000000" w:themeColor="text1"/>
          <w:lang w:val="en-US"/>
        </w:rPr>
        <w:t xml:space="preserve">term survivors of cancer in </w:t>
      </w:r>
      <w:r w:rsidR="00B9286B" w:rsidRPr="00156087">
        <w:rPr>
          <w:rFonts w:cstheme="minorHAnsi"/>
          <w:color w:val="000000" w:themeColor="text1"/>
          <w:lang w:val="en-US"/>
        </w:rPr>
        <w:t>CAEA</w:t>
      </w:r>
      <w:r w:rsidR="00567D83" w:rsidRPr="00156087">
        <w:rPr>
          <w:rFonts w:cstheme="minorHAnsi"/>
          <w:color w:val="000000" w:themeColor="text1"/>
          <w:lang w:val="en-US"/>
        </w:rPr>
        <w:t xml:space="preserve"> we aimed </w:t>
      </w:r>
      <w:r w:rsidR="00056405" w:rsidRPr="00156087">
        <w:rPr>
          <w:rFonts w:cstheme="minorHAnsi"/>
          <w:color w:val="000000" w:themeColor="text1"/>
          <w:lang w:val="en-US"/>
        </w:rPr>
        <w:t>a</w:t>
      </w:r>
      <w:r w:rsidR="00567D83" w:rsidRPr="00156087">
        <w:rPr>
          <w:rFonts w:cstheme="minorHAnsi"/>
          <w:color w:val="000000" w:themeColor="text1"/>
          <w:lang w:val="en-US"/>
        </w:rPr>
        <w:t>t investigat</w:t>
      </w:r>
      <w:r w:rsidR="00056405" w:rsidRPr="00156087">
        <w:rPr>
          <w:rFonts w:cstheme="minorHAnsi"/>
          <w:color w:val="000000" w:themeColor="text1"/>
          <w:lang w:val="en-US"/>
        </w:rPr>
        <w:t>ing</w:t>
      </w:r>
      <w:r w:rsidR="00567D83" w:rsidRPr="00156087">
        <w:rPr>
          <w:rFonts w:cstheme="minorHAnsi"/>
          <w:color w:val="000000" w:themeColor="text1"/>
          <w:lang w:val="en-US"/>
        </w:rPr>
        <w:t xml:space="preserve"> </w:t>
      </w:r>
      <w:r w:rsidR="00056405" w:rsidRPr="00156087">
        <w:rPr>
          <w:rFonts w:cstheme="minorHAnsi"/>
          <w:color w:val="000000" w:themeColor="text1"/>
          <w:lang w:val="en-US"/>
        </w:rPr>
        <w:t xml:space="preserve">the </w:t>
      </w:r>
      <w:r w:rsidR="00567D83" w:rsidRPr="00156087">
        <w:rPr>
          <w:rFonts w:cstheme="minorHAnsi"/>
          <w:color w:val="000000" w:themeColor="text1"/>
          <w:lang w:val="en-US"/>
        </w:rPr>
        <w:t>prevalence of analgesic drug</w:t>
      </w:r>
      <w:r w:rsidR="00056405" w:rsidRPr="00156087">
        <w:rPr>
          <w:rFonts w:cstheme="minorHAnsi"/>
          <w:color w:val="000000" w:themeColor="text1"/>
          <w:lang w:val="en-US"/>
        </w:rPr>
        <w:t xml:space="preserve"> use and associated</w:t>
      </w:r>
      <w:r w:rsidR="00567D83" w:rsidRPr="00156087">
        <w:rPr>
          <w:rFonts w:cstheme="minorHAnsi"/>
          <w:color w:val="000000" w:themeColor="text1"/>
          <w:lang w:val="en-US"/>
        </w:rPr>
        <w:t xml:space="preserve"> benzodiazepine and benzodiazepine-related hypnotic use </w:t>
      </w:r>
      <w:r w:rsidR="00056405" w:rsidRPr="00156087">
        <w:rPr>
          <w:rFonts w:cstheme="minorHAnsi"/>
          <w:color w:val="000000" w:themeColor="text1"/>
          <w:lang w:val="en-US"/>
        </w:rPr>
        <w:t>compared to</w:t>
      </w:r>
      <w:r w:rsidR="00567D83" w:rsidRPr="00156087">
        <w:rPr>
          <w:rFonts w:cstheme="minorHAnsi"/>
          <w:color w:val="000000" w:themeColor="text1"/>
          <w:lang w:val="en-US"/>
        </w:rPr>
        <w:t xml:space="preserve"> the general population. Further, we </w:t>
      </w:r>
      <w:r w:rsidR="00056405" w:rsidRPr="00156087">
        <w:rPr>
          <w:rFonts w:cstheme="minorHAnsi"/>
          <w:color w:val="000000" w:themeColor="text1"/>
          <w:lang w:val="en-US"/>
        </w:rPr>
        <w:t>aimed at</w:t>
      </w:r>
      <w:r w:rsidR="00567D83" w:rsidRPr="00156087">
        <w:rPr>
          <w:rFonts w:cstheme="minorHAnsi"/>
          <w:color w:val="000000" w:themeColor="text1"/>
          <w:lang w:val="en-US"/>
        </w:rPr>
        <w:t xml:space="preserve"> </w:t>
      </w:r>
      <w:r w:rsidR="00056405" w:rsidRPr="00156087">
        <w:rPr>
          <w:rFonts w:cstheme="minorHAnsi"/>
          <w:color w:val="000000" w:themeColor="text1"/>
          <w:lang w:val="en-US"/>
        </w:rPr>
        <w:t xml:space="preserve">investigating the </w:t>
      </w:r>
      <w:r w:rsidR="00567D83" w:rsidRPr="00156087">
        <w:rPr>
          <w:rFonts w:cstheme="minorHAnsi"/>
          <w:color w:val="000000" w:themeColor="text1"/>
          <w:lang w:val="en-US"/>
        </w:rPr>
        <w:t>prevalence of persiste</w:t>
      </w:r>
      <w:r w:rsidR="008D0700" w:rsidRPr="00156087">
        <w:rPr>
          <w:rFonts w:cstheme="minorHAnsi"/>
          <w:color w:val="000000" w:themeColor="text1"/>
          <w:lang w:val="en-US"/>
        </w:rPr>
        <w:t>nt</w:t>
      </w:r>
      <w:r w:rsidR="00567D83" w:rsidRPr="00156087">
        <w:rPr>
          <w:rFonts w:cstheme="minorHAnsi"/>
          <w:color w:val="000000" w:themeColor="text1"/>
          <w:lang w:val="en-US"/>
        </w:rPr>
        <w:t xml:space="preserve"> use of opioids and </w:t>
      </w:r>
      <w:r w:rsidR="00056405" w:rsidRPr="00156087">
        <w:rPr>
          <w:rFonts w:cstheme="minorHAnsi"/>
          <w:color w:val="000000" w:themeColor="text1"/>
          <w:lang w:val="en-US"/>
        </w:rPr>
        <w:t>combined</w:t>
      </w:r>
      <w:r w:rsidR="00567D83" w:rsidRPr="00156087">
        <w:rPr>
          <w:rFonts w:cstheme="minorHAnsi"/>
          <w:color w:val="000000" w:themeColor="text1"/>
          <w:lang w:val="en-US"/>
        </w:rPr>
        <w:t xml:space="preserve"> use of opioids and benzodiazepines. </w:t>
      </w:r>
      <w:r w:rsidR="00D9177C" w:rsidRPr="00156087">
        <w:rPr>
          <w:rFonts w:cstheme="minorHAnsi"/>
          <w:color w:val="000000" w:themeColor="text1"/>
          <w:lang w:val="en-US"/>
        </w:rPr>
        <w:t>Finally</w:t>
      </w:r>
      <w:r w:rsidR="00567D83" w:rsidRPr="00156087">
        <w:rPr>
          <w:rFonts w:cstheme="minorHAnsi"/>
          <w:color w:val="000000" w:themeColor="text1"/>
          <w:lang w:val="en-US"/>
        </w:rPr>
        <w:t xml:space="preserve">, we </w:t>
      </w:r>
      <w:r w:rsidR="00D6680F" w:rsidRPr="00156087">
        <w:rPr>
          <w:rFonts w:cstheme="minorHAnsi"/>
          <w:color w:val="000000" w:themeColor="text1"/>
          <w:lang w:val="en-US"/>
        </w:rPr>
        <w:t>aimed at investigating</w:t>
      </w:r>
      <w:r w:rsidR="00567D83" w:rsidRPr="00156087">
        <w:rPr>
          <w:rFonts w:cstheme="minorHAnsi"/>
          <w:color w:val="000000" w:themeColor="text1"/>
          <w:lang w:val="en-US"/>
        </w:rPr>
        <w:t xml:space="preserve"> the level of co-medication </w:t>
      </w:r>
      <w:r w:rsidR="009E0844" w:rsidRPr="00156087">
        <w:rPr>
          <w:rFonts w:cstheme="minorHAnsi"/>
          <w:color w:val="000000" w:themeColor="text1"/>
          <w:lang w:val="en-US"/>
        </w:rPr>
        <w:t>between</w:t>
      </w:r>
      <w:r w:rsidR="00567D83" w:rsidRPr="00156087">
        <w:rPr>
          <w:rFonts w:cstheme="minorHAnsi"/>
          <w:color w:val="000000" w:themeColor="text1"/>
          <w:lang w:val="en-US"/>
        </w:rPr>
        <w:t xml:space="preserve"> persistent opioid use</w:t>
      </w:r>
      <w:r w:rsidR="00D6680F" w:rsidRPr="00156087">
        <w:rPr>
          <w:rFonts w:cstheme="minorHAnsi"/>
          <w:color w:val="000000" w:themeColor="text1"/>
          <w:lang w:val="en-US"/>
        </w:rPr>
        <w:t>rs</w:t>
      </w:r>
      <w:r w:rsidR="00567D83" w:rsidRPr="00156087">
        <w:rPr>
          <w:rFonts w:cstheme="minorHAnsi"/>
          <w:color w:val="000000" w:themeColor="text1"/>
          <w:lang w:val="en-US"/>
        </w:rPr>
        <w:t xml:space="preserve"> and </w:t>
      </w:r>
      <w:r w:rsidR="00D6680F" w:rsidRPr="00156087">
        <w:rPr>
          <w:rFonts w:cstheme="minorHAnsi"/>
          <w:color w:val="000000" w:themeColor="text1"/>
          <w:lang w:val="en-US"/>
        </w:rPr>
        <w:t xml:space="preserve">use of </w:t>
      </w:r>
      <w:r w:rsidR="00567D83" w:rsidRPr="00156087">
        <w:rPr>
          <w:rFonts w:cstheme="minorHAnsi"/>
          <w:color w:val="000000" w:themeColor="text1"/>
          <w:lang w:val="en-US"/>
        </w:rPr>
        <w:t xml:space="preserve">high doses of benzodiazepines </w:t>
      </w:r>
      <w:r w:rsidR="009E0844" w:rsidRPr="00156087">
        <w:rPr>
          <w:rFonts w:cstheme="minorHAnsi"/>
          <w:color w:val="000000" w:themeColor="text1"/>
          <w:lang w:val="en-US"/>
        </w:rPr>
        <w:t>and/</w:t>
      </w:r>
      <w:r w:rsidR="00567D83" w:rsidRPr="00156087">
        <w:rPr>
          <w:rFonts w:cstheme="minorHAnsi"/>
          <w:color w:val="000000" w:themeColor="text1"/>
          <w:lang w:val="en-US"/>
        </w:rPr>
        <w:t xml:space="preserve">or benzodiazepine-related hypnotics. </w:t>
      </w:r>
    </w:p>
    <w:p w14:paraId="51675C10" w14:textId="2ED57702" w:rsidR="000C7893" w:rsidRPr="00156087" w:rsidRDefault="000C7893" w:rsidP="008D6F82">
      <w:pPr>
        <w:spacing w:after="0" w:line="360" w:lineRule="auto"/>
        <w:rPr>
          <w:rFonts w:cstheme="minorHAnsi"/>
          <w:b/>
          <w:color w:val="000000" w:themeColor="text1"/>
          <w:lang w:val="en-US"/>
        </w:rPr>
      </w:pPr>
    </w:p>
    <w:p w14:paraId="343AA5E3" w14:textId="77777777" w:rsidR="0061158C" w:rsidRPr="00156087" w:rsidRDefault="0061158C">
      <w:pPr>
        <w:rPr>
          <w:rFonts w:cstheme="minorHAnsi"/>
          <w:b/>
          <w:color w:val="000000" w:themeColor="text1"/>
          <w:lang w:val="en-US"/>
        </w:rPr>
      </w:pPr>
      <w:r w:rsidRPr="00156087">
        <w:rPr>
          <w:rFonts w:cstheme="minorHAnsi"/>
          <w:b/>
          <w:color w:val="000000" w:themeColor="text1"/>
          <w:lang w:val="en-US"/>
        </w:rPr>
        <w:br w:type="page"/>
      </w:r>
    </w:p>
    <w:p w14:paraId="6C488E21" w14:textId="1EB22B7A" w:rsidR="00FB6053" w:rsidRPr="00156087" w:rsidRDefault="000B734D" w:rsidP="008D6F82">
      <w:pPr>
        <w:spacing w:after="0" w:line="360" w:lineRule="auto"/>
        <w:rPr>
          <w:rFonts w:cstheme="minorHAnsi"/>
          <w:b/>
          <w:color w:val="000000" w:themeColor="text1"/>
          <w:lang w:val="en-US"/>
        </w:rPr>
      </w:pPr>
      <w:r w:rsidRPr="00156087">
        <w:rPr>
          <w:rFonts w:cstheme="minorHAnsi"/>
          <w:b/>
          <w:color w:val="000000" w:themeColor="text1"/>
          <w:lang w:val="en-US"/>
        </w:rPr>
        <w:lastRenderedPageBreak/>
        <w:t xml:space="preserve">2. </w:t>
      </w:r>
      <w:r w:rsidR="00EC2740" w:rsidRPr="00156087">
        <w:rPr>
          <w:rFonts w:cstheme="minorHAnsi"/>
          <w:b/>
          <w:color w:val="000000" w:themeColor="text1"/>
          <w:lang w:val="en-US"/>
        </w:rPr>
        <w:t xml:space="preserve">Material and methods </w:t>
      </w:r>
    </w:p>
    <w:p w14:paraId="36816892" w14:textId="77777777" w:rsidR="00EC2740" w:rsidRPr="00156087" w:rsidRDefault="000B734D" w:rsidP="008D6F82">
      <w:pPr>
        <w:spacing w:after="0" w:line="360" w:lineRule="auto"/>
        <w:rPr>
          <w:rFonts w:cstheme="minorHAnsi"/>
          <w:color w:val="000000" w:themeColor="text1"/>
          <w:u w:val="single"/>
          <w:lang w:val="en-US"/>
        </w:rPr>
      </w:pPr>
      <w:r w:rsidRPr="00156087">
        <w:rPr>
          <w:rFonts w:cstheme="minorHAnsi"/>
          <w:color w:val="000000" w:themeColor="text1"/>
          <w:u w:val="single"/>
          <w:lang w:val="en-US"/>
        </w:rPr>
        <w:t xml:space="preserve">2.1 </w:t>
      </w:r>
      <w:r w:rsidR="00BF3BEF" w:rsidRPr="00156087">
        <w:rPr>
          <w:rFonts w:cstheme="minorHAnsi"/>
          <w:color w:val="000000" w:themeColor="text1"/>
          <w:u w:val="single"/>
          <w:lang w:val="en-US"/>
        </w:rPr>
        <w:t xml:space="preserve">Study design </w:t>
      </w:r>
    </w:p>
    <w:p w14:paraId="1D958820" w14:textId="42EB9C5D" w:rsidR="00BF3BEF" w:rsidRPr="00156087" w:rsidRDefault="003A420E" w:rsidP="008D6F82">
      <w:pPr>
        <w:spacing w:after="0" w:line="360" w:lineRule="auto"/>
        <w:rPr>
          <w:rFonts w:cstheme="minorHAnsi"/>
          <w:color w:val="000000" w:themeColor="text1"/>
          <w:lang w:val="en-US"/>
        </w:rPr>
      </w:pPr>
      <w:r w:rsidRPr="00156087">
        <w:rPr>
          <w:rFonts w:cstheme="minorHAnsi"/>
          <w:color w:val="000000" w:themeColor="text1"/>
          <w:lang w:val="en-US"/>
        </w:rPr>
        <w:t xml:space="preserve">The study </w:t>
      </w:r>
      <w:r w:rsidR="00FF4BAD" w:rsidRPr="00156087">
        <w:rPr>
          <w:rFonts w:cstheme="minorHAnsi"/>
          <w:color w:val="000000" w:themeColor="text1"/>
          <w:lang w:val="en-US"/>
        </w:rPr>
        <w:t>was</w:t>
      </w:r>
      <w:r w:rsidRPr="00156087">
        <w:rPr>
          <w:rFonts w:cstheme="minorHAnsi"/>
          <w:color w:val="000000" w:themeColor="text1"/>
          <w:lang w:val="en-US"/>
        </w:rPr>
        <w:t xml:space="preserve"> a </w:t>
      </w:r>
      <w:r w:rsidR="00744D9E" w:rsidRPr="00156087">
        <w:rPr>
          <w:rFonts w:cstheme="minorHAnsi"/>
          <w:color w:val="000000" w:themeColor="text1"/>
          <w:lang w:val="en-US"/>
        </w:rPr>
        <w:t xml:space="preserve">population-based </w:t>
      </w:r>
      <w:r w:rsidR="00B93171" w:rsidRPr="00156087">
        <w:rPr>
          <w:rFonts w:cstheme="minorHAnsi"/>
          <w:color w:val="000000" w:themeColor="text1"/>
          <w:lang w:val="en-US"/>
        </w:rPr>
        <w:t xml:space="preserve">retrospective </w:t>
      </w:r>
      <w:r w:rsidR="007263C4" w:rsidRPr="00156087">
        <w:rPr>
          <w:rFonts w:cstheme="minorHAnsi"/>
          <w:color w:val="000000" w:themeColor="text1"/>
          <w:lang w:val="en-US"/>
        </w:rPr>
        <w:t xml:space="preserve">descriptive </w:t>
      </w:r>
      <w:r w:rsidRPr="00156087">
        <w:rPr>
          <w:rFonts w:cstheme="minorHAnsi"/>
          <w:color w:val="000000" w:themeColor="text1"/>
          <w:lang w:val="en-US"/>
        </w:rPr>
        <w:t xml:space="preserve">study of analgesic and </w:t>
      </w:r>
      <w:r w:rsidR="00EE04DA" w:rsidRPr="00156087">
        <w:rPr>
          <w:rFonts w:cstheme="minorHAnsi"/>
          <w:color w:val="000000" w:themeColor="text1"/>
          <w:lang w:val="en-US"/>
        </w:rPr>
        <w:t xml:space="preserve">concomitant </w:t>
      </w:r>
      <w:r w:rsidRPr="00156087">
        <w:rPr>
          <w:rFonts w:cstheme="minorHAnsi"/>
          <w:color w:val="000000" w:themeColor="text1"/>
          <w:lang w:val="en-US"/>
        </w:rPr>
        <w:t xml:space="preserve">benzodiazepine use in </w:t>
      </w:r>
      <w:r w:rsidR="00AF1FDB" w:rsidRPr="00156087">
        <w:rPr>
          <w:rFonts w:cstheme="minorHAnsi"/>
          <w:color w:val="000000" w:themeColor="text1"/>
          <w:lang w:val="en-US"/>
        </w:rPr>
        <w:t xml:space="preserve">adult </w:t>
      </w:r>
      <w:r w:rsidR="00FF4BAD" w:rsidRPr="00156087">
        <w:rPr>
          <w:rFonts w:cstheme="minorHAnsi"/>
          <w:color w:val="000000" w:themeColor="text1"/>
          <w:lang w:val="en-US"/>
        </w:rPr>
        <w:t>long-term</w:t>
      </w:r>
      <w:r w:rsidR="00485889" w:rsidRPr="00156087">
        <w:rPr>
          <w:rFonts w:cstheme="minorHAnsi"/>
          <w:color w:val="000000" w:themeColor="text1"/>
          <w:lang w:val="en-US"/>
        </w:rPr>
        <w:t xml:space="preserve"> survivors of cancer </w:t>
      </w:r>
      <w:r w:rsidR="00C500EA" w:rsidRPr="00156087">
        <w:rPr>
          <w:rFonts w:cstheme="minorHAnsi"/>
          <w:color w:val="000000" w:themeColor="text1"/>
          <w:lang w:val="en-US"/>
        </w:rPr>
        <w:t xml:space="preserve">in </w:t>
      </w:r>
      <w:r w:rsidR="00690522" w:rsidRPr="00156087">
        <w:rPr>
          <w:rFonts w:cstheme="minorHAnsi"/>
          <w:color w:val="000000" w:themeColor="text1"/>
          <w:lang w:val="en-US"/>
        </w:rPr>
        <w:t>CAEA</w:t>
      </w:r>
      <w:r w:rsidRPr="00156087">
        <w:rPr>
          <w:rFonts w:cstheme="minorHAnsi"/>
          <w:color w:val="000000" w:themeColor="text1"/>
          <w:lang w:val="en-US"/>
        </w:rPr>
        <w:t xml:space="preserve">. </w:t>
      </w:r>
      <w:r w:rsidR="00B93171" w:rsidRPr="00156087">
        <w:rPr>
          <w:rFonts w:cstheme="minorHAnsi"/>
          <w:color w:val="000000" w:themeColor="text1"/>
          <w:lang w:val="en-US"/>
        </w:rPr>
        <w:t xml:space="preserve">The study was based on </w:t>
      </w:r>
      <w:r w:rsidR="00B87891" w:rsidRPr="00156087">
        <w:rPr>
          <w:rFonts w:cstheme="minorHAnsi"/>
          <w:color w:val="000000" w:themeColor="text1"/>
          <w:lang w:val="en-US"/>
        </w:rPr>
        <w:t xml:space="preserve">data from 2005 to 2012 </w:t>
      </w:r>
      <w:r w:rsidR="00B93171" w:rsidRPr="00156087">
        <w:rPr>
          <w:rFonts w:cstheme="minorHAnsi"/>
          <w:color w:val="000000" w:themeColor="text1"/>
          <w:lang w:val="en-US"/>
        </w:rPr>
        <w:t>from</w:t>
      </w:r>
      <w:r w:rsidR="000C6C6E" w:rsidRPr="00156087">
        <w:rPr>
          <w:rFonts w:cstheme="minorHAnsi"/>
          <w:color w:val="000000" w:themeColor="text1"/>
          <w:lang w:val="en-US"/>
        </w:rPr>
        <w:t xml:space="preserve"> a </w:t>
      </w:r>
      <w:r w:rsidR="00B93171" w:rsidRPr="00156087">
        <w:rPr>
          <w:rFonts w:cstheme="minorHAnsi"/>
          <w:color w:val="000000" w:themeColor="text1"/>
          <w:lang w:val="en-US"/>
        </w:rPr>
        <w:t xml:space="preserve">complete national database on dispensed prescriptions. </w:t>
      </w:r>
    </w:p>
    <w:p w14:paraId="0E7C1841" w14:textId="77777777" w:rsidR="008D6F82" w:rsidRPr="00156087" w:rsidRDefault="008D6F82" w:rsidP="008D6F82">
      <w:pPr>
        <w:spacing w:after="0" w:line="360" w:lineRule="auto"/>
        <w:rPr>
          <w:rFonts w:cstheme="minorHAnsi"/>
          <w:color w:val="000000" w:themeColor="text1"/>
          <w:lang w:val="en-US"/>
        </w:rPr>
      </w:pPr>
    </w:p>
    <w:p w14:paraId="0C93FA5C" w14:textId="77777777" w:rsidR="00BF3BEF" w:rsidRPr="00156087" w:rsidRDefault="000B734D" w:rsidP="008D6F82">
      <w:pPr>
        <w:spacing w:after="0" w:line="360" w:lineRule="auto"/>
        <w:rPr>
          <w:rFonts w:cstheme="minorHAnsi"/>
          <w:color w:val="000000" w:themeColor="text1"/>
          <w:u w:val="single"/>
          <w:lang w:val="en-US"/>
        </w:rPr>
      </w:pPr>
      <w:r w:rsidRPr="00156087">
        <w:rPr>
          <w:rFonts w:cstheme="minorHAnsi"/>
          <w:color w:val="000000" w:themeColor="text1"/>
          <w:u w:val="single"/>
          <w:lang w:val="en-US"/>
        </w:rPr>
        <w:t xml:space="preserve">2.2 </w:t>
      </w:r>
      <w:r w:rsidR="00BF3BEF" w:rsidRPr="00156087">
        <w:rPr>
          <w:rFonts w:cstheme="minorHAnsi"/>
          <w:color w:val="000000" w:themeColor="text1"/>
          <w:u w:val="single"/>
          <w:lang w:val="en-US"/>
        </w:rPr>
        <w:t xml:space="preserve">Study population </w:t>
      </w:r>
    </w:p>
    <w:p w14:paraId="23F860E2" w14:textId="2458371C" w:rsidR="00AF1FDB" w:rsidRPr="00156087" w:rsidRDefault="001505DE" w:rsidP="008D6F82">
      <w:pPr>
        <w:spacing w:after="0" w:line="360" w:lineRule="auto"/>
        <w:rPr>
          <w:rFonts w:cstheme="minorHAnsi"/>
          <w:color w:val="000000" w:themeColor="text1"/>
          <w:lang w:val="en-US"/>
        </w:rPr>
      </w:pPr>
      <w:r w:rsidRPr="00156087">
        <w:rPr>
          <w:rFonts w:cstheme="minorHAnsi"/>
          <w:color w:val="000000" w:themeColor="text1"/>
          <w:lang w:val="en-US"/>
        </w:rPr>
        <w:t>In order to maximize the study population in accordance with the available data, t</w:t>
      </w:r>
      <w:r w:rsidR="00CC45BB" w:rsidRPr="00156087">
        <w:rPr>
          <w:rFonts w:cstheme="minorHAnsi"/>
          <w:color w:val="000000" w:themeColor="text1"/>
          <w:lang w:val="en-US"/>
        </w:rPr>
        <w:t xml:space="preserve">he study population consisted of </w:t>
      </w:r>
      <w:r w:rsidR="000C6C6E" w:rsidRPr="00156087">
        <w:rPr>
          <w:rFonts w:cstheme="minorHAnsi"/>
          <w:color w:val="000000" w:themeColor="text1"/>
          <w:lang w:val="en-US"/>
        </w:rPr>
        <w:t xml:space="preserve">all </w:t>
      </w:r>
      <w:r w:rsidR="008D0700" w:rsidRPr="00156087">
        <w:rPr>
          <w:rFonts w:cstheme="minorHAnsi"/>
          <w:color w:val="000000" w:themeColor="text1"/>
          <w:lang w:val="en-US"/>
        </w:rPr>
        <w:t>Norwegian individuals</w:t>
      </w:r>
      <w:r w:rsidR="001E3524" w:rsidRPr="00156087">
        <w:rPr>
          <w:rFonts w:cstheme="minorHAnsi"/>
          <w:color w:val="000000" w:themeColor="text1"/>
          <w:lang w:val="en-US"/>
        </w:rPr>
        <w:t>,</w:t>
      </w:r>
      <w:r w:rsidR="008D0700" w:rsidRPr="00156087">
        <w:rPr>
          <w:rFonts w:cstheme="minorHAnsi"/>
          <w:color w:val="000000" w:themeColor="text1"/>
          <w:lang w:val="en-US"/>
        </w:rPr>
        <w:t xml:space="preserve"> </w:t>
      </w:r>
      <w:r w:rsidR="00067E0D" w:rsidRPr="00156087">
        <w:rPr>
          <w:rFonts w:cstheme="minorHAnsi"/>
          <w:color w:val="000000" w:themeColor="text1"/>
          <w:lang w:val="en-US"/>
        </w:rPr>
        <w:t xml:space="preserve">who </w:t>
      </w:r>
      <w:r w:rsidR="00CC45BB" w:rsidRPr="00156087">
        <w:rPr>
          <w:rFonts w:cstheme="minorHAnsi"/>
          <w:color w:val="000000" w:themeColor="text1"/>
          <w:lang w:val="en-US"/>
        </w:rPr>
        <w:t>were diagnosed with cancer in the years 1995 to 2002, 1985 to 1992 and</w:t>
      </w:r>
      <w:r w:rsidR="00C500EA" w:rsidRPr="00156087">
        <w:rPr>
          <w:rFonts w:cstheme="minorHAnsi"/>
          <w:color w:val="000000" w:themeColor="text1"/>
          <w:lang w:val="en-US"/>
        </w:rPr>
        <w:t xml:space="preserve"> 1975 to 1982, who were below 30</w:t>
      </w:r>
      <w:r w:rsidR="00CC45BB" w:rsidRPr="00156087">
        <w:rPr>
          <w:rFonts w:cstheme="minorHAnsi"/>
          <w:color w:val="000000" w:themeColor="text1"/>
          <w:lang w:val="en-US"/>
        </w:rPr>
        <w:t xml:space="preserve"> years of age at the time of diagnosis and alive 15, 25 and 35 years after diagnosis, respectively</w:t>
      </w:r>
      <w:r w:rsidR="00415CD5" w:rsidRPr="00156087">
        <w:rPr>
          <w:rFonts w:cstheme="minorHAnsi"/>
          <w:color w:val="000000" w:themeColor="text1"/>
          <w:lang w:val="en-US"/>
        </w:rPr>
        <w:t xml:space="preserve"> (</w:t>
      </w:r>
      <w:r w:rsidR="00D40795" w:rsidRPr="00156087">
        <w:rPr>
          <w:rFonts w:cstheme="minorHAnsi"/>
          <w:color w:val="000000" w:themeColor="text1"/>
          <w:lang w:val="en-US"/>
        </w:rPr>
        <w:t>f</w:t>
      </w:r>
      <w:r w:rsidR="00415CD5" w:rsidRPr="00156087">
        <w:rPr>
          <w:rFonts w:cstheme="minorHAnsi"/>
          <w:color w:val="000000" w:themeColor="text1"/>
          <w:lang w:val="en-US"/>
        </w:rPr>
        <w:t xml:space="preserve">igure 1 and </w:t>
      </w:r>
      <w:r w:rsidR="00D40795" w:rsidRPr="00156087">
        <w:rPr>
          <w:rFonts w:cstheme="minorHAnsi"/>
          <w:color w:val="000000" w:themeColor="text1"/>
          <w:lang w:val="en-US"/>
        </w:rPr>
        <w:t>f</w:t>
      </w:r>
      <w:r w:rsidR="00415CD5" w:rsidRPr="00156087">
        <w:rPr>
          <w:rFonts w:cstheme="minorHAnsi"/>
          <w:color w:val="000000" w:themeColor="text1"/>
          <w:lang w:val="en-US"/>
        </w:rPr>
        <w:t>igure 2)</w:t>
      </w:r>
      <w:r w:rsidR="00CC45BB" w:rsidRPr="00156087">
        <w:rPr>
          <w:rFonts w:cstheme="minorHAnsi"/>
          <w:color w:val="000000" w:themeColor="text1"/>
          <w:lang w:val="en-US"/>
        </w:rPr>
        <w:t xml:space="preserve">. </w:t>
      </w:r>
      <w:r w:rsidR="005624FB" w:rsidRPr="00156087">
        <w:rPr>
          <w:rFonts w:cstheme="minorHAnsi"/>
          <w:color w:val="000000" w:themeColor="text1"/>
          <w:lang w:val="en-US"/>
        </w:rPr>
        <w:t>Data on drug use were collected 10, 20 and 30 years after diagnosis. The criterion of being alive 5 years after the time of data collection was applied in order to exclude persons</w:t>
      </w:r>
      <w:r w:rsidR="000E023E" w:rsidRPr="00156087">
        <w:rPr>
          <w:rFonts w:cstheme="minorHAnsi"/>
          <w:color w:val="000000" w:themeColor="text1"/>
          <w:lang w:val="en-US"/>
        </w:rPr>
        <w:t>,</w:t>
      </w:r>
      <w:r w:rsidR="005624FB" w:rsidRPr="00156087">
        <w:rPr>
          <w:rFonts w:cstheme="minorHAnsi"/>
          <w:color w:val="000000" w:themeColor="text1"/>
          <w:lang w:val="en-US"/>
        </w:rPr>
        <w:t xml:space="preserve"> who at the time of data collection had a life limiting </w:t>
      </w:r>
      <w:r w:rsidR="008D0700" w:rsidRPr="00156087">
        <w:rPr>
          <w:rFonts w:cstheme="minorHAnsi"/>
          <w:color w:val="000000" w:themeColor="text1"/>
          <w:lang w:val="en-US"/>
        </w:rPr>
        <w:t xml:space="preserve">cancer </w:t>
      </w:r>
      <w:r w:rsidR="005624FB" w:rsidRPr="00156087">
        <w:rPr>
          <w:rFonts w:cstheme="minorHAnsi"/>
          <w:color w:val="000000" w:themeColor="text1"/>
          <w:lang w:val="en-US"/>
        </w:rPr>
        <w:t>disease in an advanced stage</w:t>
      </w:r>
      <w:r w:rsidR="004C69D0" w:rsidRPr="00156087">
        <w:rPr>
          <w:rFonts w:cstheme="minorHAnsi"/>
          <w:color w:val="000000" w:themeColor="text1"/>
          <w:lang w:val="en-US"/>
        </w:rPr>
        <w:t xml:space="preserve"> and received symptom-relieving drugs for this disease</w:t>
      </w:r>
      <w:r w:rsidR="005624FB" w:rsidRPr="00156087">
        <w:rPr>
          <w:rFonts w:cstheme="minorHAnsi"/>
          <w:color w:val="000000" w:themeColor="text1"/>
          <w:lang w:val="en-US"/>
        </w:rPr>
        <w:t>. Persons who had been diagnosed with a second cancer</w:t>
      </w:r>
      <w:r w:rsidR="00CB2501" w:rsidRPr="00156087">
        <w:rPr>
          <w:rFonts w:cstheme="minorHAnsi"/>
          <w:color w:val="000000" w:themeColor="text1"/>
          <w:lang w:val="en-US"/>
        </w:rPr>
        <w:t xml:space="preserve"> </w:t>
      </w:r>
      <w:r w:rsidR="00D9177C" w:rsidRPr="00156087">
        <w:rPr>
          <w:rFonts w:cstheme="minorHAnsi"/>
          <w:color w:val="000000" w:themeColor="text1"/>
          <w:lang w:val="en-US"/>
        </w:rPr>
        <w:t>or emigrated</w:t>
      </w:r>
      <w:r w:rsidR="005624FB" w:rsidRPr="00156087">
        <w:rPr>
          <w:rFonts w:cstheme="minorHAnsi"/>
          <w:color w:val="000000" w:themeColor="text1"/>
          <w:lang w:val="en-US"/>
        </w:rPr>
        <w:t xml:space="preserve"> were </w:t>
      </w:r>
      <w:r w:rsidR="00CB2501" w:rsidRPr="00156087">
        <w:rPr>
          <w:rFonts w:cstheme="minorHAnsi"/>
          <w:color w:val="000000" w:themeColor="text1"/>
          <w:lang w:val="en-US"/>
        </w:rPr>
        <w:t xml:space="preserve">also </w:t>
      </w:r>
      <w:r w:rsidR="005624FB" w:rsidRPr="00156087">
        <w:rPr>
          <w:rFonts w:cstheme="minorHAnsi"/>
          <w:color w:val="000000" w:themeColor="text1"/>
          <w:lang w:val="en-US"/>
        </w:rPr>
        <w:t xml:space="preserve">excluded from the study population. </w:t>
      </w:r>
    </w:p>
    <w:p w14:paraId="2898D1D0" w14:textId="77777777" w:rsidR="008D6F82" w:rsidRPr="00156087" w:rsidRDefault="008D6F82" w:rsidP="008D6F82">
      <w:pPr>
        <w:spacing w:after="0" w:line="360" w:lineRule="auto"/>
        <w:rPr>
          <w:rFonts w:cstheme="minorHAnsi"/>
          <w:color w:val="000000" w:themeColor="text1"/>
          <w:lang w:val="en-US"/>
        </w:rPr>
      </w:pPr>
    </w:p>
    <w:p w14:paraId="0AA98031" w14:textId="77777777" w:rsidR="00BF3BEF" w:rsidRPr="00156087" w:rsidRDefault="000B734D" w:rsidP="008D6F82">
      <w:pPr>
        <w:spacing w:after="0" w:line="360" w:lineRule="auto"/>
        <w:rPr>
          <w:rFonts w:cstheme="minorHAnsi"/>
          <w:color w:val="000000" w:themeColor="text1"/>
          <w:u w:val="single"/>
          <w:lang w:val="en-US"/>
        </w:rPr>
      </w:pPr>
      <w:r w:rsidRPr="00156087">
        <w:rPr>
          <w:rFonts w:cstheme="minorHAnsi"/>
          <w:color w:val="000000" w:themeColor="text1"/>
          <w:u w:val="single"/>
          <w:lang w:val="en-US"/>
        </w:rPr>
        <w:t xml:space="preserve">2.3 </w:t>
      </w:r>
      <w:r w:rsidR="00BF3BEF" w:rsidRPr="00156087">
        <w:rPr>
          <w:rFonts w:cstheme="minorHAnsi"/>
          <w:color w:val="000000" w:themeColor="text1"/>
          <w:u w:val="single"/>
          <w:lang w:val="en-US"/>
        </w:rPr>
        <w:t xml:space="preserve">Data sources </w:t>
      </w:r>
    </w:p>
    <w:p w14:paraId="23A79339" w14:textId="76996259" w:rsidR="00BF3BEF" w:rsidRPr="00156087" w:rsidRDefault="00C00204" w:rsidP="008D6F82">
      <w:pPr>
        <w:spacing w:after="0" w:line="360" w:lineRule="auto"/>
        <w:rPr>
          <w:rFonts w:cstheme="minorHAnsi"/>
          <w:color w:val="000000" w:themeColor="text1"/>
          <w:lang w:val="en-US"/>
        </w:rPr>
      </w:pPr>
      <w:r w:rsidRPr="00156087">
        <w:rPr>
          <w:rFonts w:cstheme="minorHAnsi"/>
          <w:color w:val="000000" w:themeColor="text1"/>
          <w:lang w:val="en-US"/>
        </w:rPr>
        <w:t xml:space="preserve">The study </w:t>
      </w:r>
      <w:r w:rsidR="00FF4BAD" w:rsidRPr="00156087">
        <w:rPr>
          <w:rFonts w:cstheme="minorHAnsi"/>
          <w:color w:val="000000" w:themeColor="text1"/>
          <w:lang w:val="en-US"/>
        </w:rPr>
        <w:t>was</w:t>
      </w:r>
      <w:r w:rsidRPr="00156087">
        <w:rPr>
          <w:rFonts w:cstheme="minorHAnsi"/>
          <w:color w:val="000000" w:themeColor="text1"/>
          <w:lang w:val="en-US"/>
        </w:rPr>
        <w:t xml:space="preserve"> based on linkage of data from the national Cancer Registry of Norway and the national Norwegian Prescription Database</w:t>
      </w:r>
      <w:r w:rsidR="009633C4" w:rsidRPr="00156087">
        <w:rPr>
          <w:rFonts w:cstheme="minorHAnsi"/>
          <w:color w:val="000000" w:themeColor="text1"/>
          <w:lang w:val="en-US"/>
        </w:rPr>
        <w:t xml:space="preserve"> (</w:t>
      </w:r>
      <w:proofErr w:type="spellStart"/>
      <w:r w:rsidR="009633C4" w:rsidRPr="00156087">
        <w:rPr>
          <w:rFonts w:cstheme="minorHAnsi"/>
          <w:color w:val="000000" w:themeColor="text1"/>
          <w:lang w:val="en-US"/>
        </w:rPr>
        <w:t>NorPD</w:t>
      </w:r>
      <w:proofErr w:type="spellEnd"/>
      <w:r w:rsidR="009633C4" w:rsidRPr="00156087">
        <w:rPr>
          <w:rFonts w:cstheme="minorHAnsi"/>
          <w:color w:val="000000" w:themeColor="text1"/>
          <w:lang w:val="en-US"/>
        </w:rPr>
        <w:t>)</w:t>
      </w:r>
      <w:r w:rsidRPr="00156087">
        <w:rPr>
          <w:rFonts w:cstheme="minorHAnsi"/>
          <w:color w:val="000000" w:themeColor="text1"/>
          <w:lang w:val="en-US"/>
        </w:rPr>
        <w:t xml:space="preserve">. </w:t>
      </w:r>
    </w:p>
    <w:p w14:paraId="755EE2E5" w14:textId="77777777" w:rsidR="008D6F82" w:rsidRPr="00156087" w:rsidRDefault="008D6F82" w:rsidP="008D6F82">
      <w:pPr>
        <w:spacing w:after="0" w:line="360" w:lineRule="auto"/>
        <w:rPr>
          <w:rFonts w:cstheme="minorHAnsi"/>
          <w:color w:val="000000" w:themeColor="text1"/>
          <w:lang w:val="en-US"/>
        </w:rPr>
      </w:pPr>
    </w:p>
    <w:p w14:paraId="6EC7A6C1" w14:textId="77777777" w:rsidR="00BF3BEF" w:rsidRPr="00156087" w:rsidRDefault="000B734D" w:rsidP="008D6F82">
      <w:pPr>
        <w:spacing w:after="0" w:line="360" w:lineRule="auto"/>
        <w:rPr>
          <w:rFonts w:cstheme="minorHAnsi"/>
          <w:i/>
          <w:color w:val="000000" w:themeColor="text1"/>
          <w:lang w:val="en-US"/>
        </w:rPr>
      </w:pPr>
      <w:r w:rsidRPr="00156087">
        <w:rPr>
          <w:rFonts w:cstheme="minorHAnsi"/>
          <w:i/>
          <w:color w:val="000000" w:themeColor="text1"/>
          <w:lang w:val="en-US"/>
        </w:rPr>
        <w:t xml:space="preserve">2.3.1 </w:t>
      </w:r>
      <w:r w:rsidR="00C00204" w:rsidRPr="00156087">
        <w:rPr>
          <w:rFonts w:cstheme="minorHAnsi"/>
          <w:i/>
          <w:color w:val="000000" w:themeColor="text1"/>
          <w:lang w:val="en-US"/>
        </w:rPr>
        <w:t xml:space="preserve">Norwegian </w:t>
      </w:r>
      <w:r w:rsidR="005F2185" w:rsidRPr="00156087">
        <w:rPr>
          <w:rFonts w:cstheme="minorHAnsi"/>
          <w:i/>
          <w:color w:val="000000" w:themeColor="text1"/>
          <w:lang w:val="en-US"/>
        </w:rPr>
        <w:t>P</w:t>
      </w:r>
      <w:r w:rsidR="00C00204" w:rsidRPr="00156087">
        <w:rPr>
          <w:rFonts w:cstheme="minorHAnsi"/>
          <w:i/>
          <w:color w:val="000000" w:themeColor="text1"/>
          <w:lang w:val="en-US"/>
        </w:rPr>
        <w:t xml:space="preserve">rescription </w:t>
      </w:r>
      <w:r w:rsidR="005F2185" w:rsidRPr="00156087">
        <w:rPr>
          <w:rFonts w:cstheme="minorHAnsi"/>
          <w:i/>
          <w:color w:val="000000" w:themeColor="text1"/>
          <w:lang w:val="en-US"/>
        </w:rPr>
        <w:t>D</w:t>
      </w:r>
      <w:r w:rsidR="00C00204" w:rsidRPr="00156087">
        <w:rPr>
          <w:rFonts w:cstheme="minorHAnsi"/>
          <w:i/>
          <w:color w:val="000000" w:themeColor="text1"/>
          <w:lang w:val="en-US"/>
        </w:rPr>
        <w:t xml:space="preserve">atabase </w:t>
      </w:r>
    </w:p>
    <w:p w14:paraId="7C552B07" w14:textId="21C60B72" w:rsidR="00C00204" w:rsidRPr="00156087" w:rsidRDefault="00654343" w:rsidP="008D6F82">
      <w:pPr>
        <w:autoSpaceDE w:val="0"/>
        <w:autoSpaceDN w:val="0"/>
        <w:adjustRightInd w:val="0"/>
        <w:spacing w:after="0" w:line="360" w:lineRule="auto"/>
        <w:rPr>
          <w:rFonts w:cstheme="minorHAnsi"/>
          <w:color w:val="000000" w:themeColor="text1"/>
          <w:lang w:val="en-US"/>
        </w:rPr>
      </w:pPr>
      <w:r w:rsidRPr="00156087">
        <w:rPr>
          <w:rFonts w:cstheme="minorHAnsi"/>
          <w:color w:val="000000" w:themeColor="text1"/>
          <w:lang w:val="en-US"/>
        </w:rPr>
        <w:t>Since January 1, 2004, all pharmacies in Norway have</w:t>
      </w:r>
      <w:r w:rsidR="00257232" w:rsidRPr="00156087">
        <w:rPr>
          <w:rFonts w:cstheme="minorHAnsi"/>
          <w:color w:val="000000" w:themeColor="text1"/>
          <w:lang w:val="en-US"/>
        </w:rPr>
        <w:t xml:space="preserve"> monthly</w:t>
      </w:r>
      <w:r w:rsidRPr="00156087">
        <w:rPr>
          <w:rFonts w:cstheme="minorHAnsi"/>
          <w:color w:val="000000" w:themeColor="text1"/>
          <w:lang w:val="en-US"/>
        </w:rPr>
        <w:t xml:space="preserve"> been obliged to submit data electronically to the Norwegian Institute of Public Health on all </w:t>
      </w:r>
      <w:r w:rsidR="00CB2501" w:rsidRPr="00156087">
        <w:rPr>
          <w:rFonts w:cstheme="minorHAnsi"/>
          <w:color w:val="000000" w:themeColor="text1"/>
          <w:lang w:val="en-US"/>
        </w:rPr>
        <w:t>filled</w:t>
      </w:r>
      <w:r w:rsidRPr="00156087">
        <w:rPr>
          <w:rFonts w:cstheme="minorHAnsi"/>
          <w:color w:val="000000" w:themeColor="text1"/>
          <w:lang w:val="en-US"/>
        </w:rPr>
        <w:t xml:space="preserve"> prescriptions. </w:t>
      </w:r>
      <w:proofErr w:type="spellStart"/>
      <w:r w:rsidRPr="00156087">
        <w:rPr>
          <w:rFonts w:cstheme="minorHAnsi"/>
          <w:color w:val="000000" w:themeColor="text1"/>
          <w:lang w:val="en-US"/>
        </w:rPr>
        <w:t>NorPD</w:t>
      </w:r>
      <w:proofErr w:type="spellEnd"/>
      <w:r w:rsidRPr="00156087">
        <w:rPr>
          <w:rFonts w:cstheme="minorHAnsi"/>
          <w:color w:val="000000" w:themeColor="text1"/>
          <w:lang w:val="en-US"/>
        </w:rPr>
        <w:t xml:space="preserve"> contains information on all prescription drugs, reimbursed or not, that are dispensed at pharmacies to individual patients outside institutions. </w:t>
      </w:r>
      <w:r w:rsidR="00257232" w:rsidRPr="00156087">
        <w:rPr>
          <w:rFonts w:cstheme="minorHAnsi"/>
          <w:color w:val="000000" w:themeColor="text1"/>
          <w:lang w:val="en-US"/>
        </w:rPr>
        <w:t>Each person is assigned a unique identifier, which makes it possible individually to monitor all dispensed drugs chronologically</w:t>
      </w:r>
      <w:r w:rsidRPr="00156087">
        <w:rPr>
          <w:rFonts w:cstheme="minorHAnsi"/>
          <w:color w:val="000000" w:themeColor="text1"/>
          <w:lang w:val="en-US"/>
        </w:rPr>
        <w:t xml:space="preserve">. Because prescription data are collected from pharmacies, only </w:t>
      </w:r>
      <w:r w:rsidR="00CB2501" w:rsidRPr="00156087">
        <w:rPr>
          <w:rFonts w:cstheme="minorHAnsi"/>
          <w:color w:val="000000" w:themeColor="text1"/>
          <w:lang w:val="en-US"/>
        </w:rPr>
        <w:t>filled</w:t>
      </w:r>
      <w:r w:rsidR="00642BFE" w:rsidRPr="00156087">
        <w:rPr>
          <w:rFonts w:cstheme="minorHAnsi"/>
          <w:color w:val="000000" w:themeColor="text1"/>
          <w:lang w:val="en-US"/>
        </w:rPr>
        <w:t xml:space="preserve"> </w:t>
      </w:r>
      <w:r w:rsidRPr="00156087">
        <w:rPr>
          <w:rFonts w:cstheme="minorHAnsi"/>
          <w:color w:val="000000" w:themeColor="text1"/>
          <w:lang w:val="en-US"/>
        </w:rPr>
        <w:t>prescriptions are actually captured.</w:t>
      </w:r>
    </w:p>
    <w:p w14:paraId="36031608" w14:textId="77777777" w:rsidR="008D6F82" w:rsidRPr="00156087" w:rsidRDefault="008D6F82" w:rsidP="008D6F82">
      <w:pPr>
        <w:autoSpaceDE w:val="0"/>
        <w:autoSpaceDN w:val="0"/>
        <w:adjustRightInd w:val="0"/>
        <w:spacing w:after="0" w:line="360" w:lineRule="auto"/>
        <w:rPr>
          <w:rFonts w:cstheme="minorHAnsi"/>
          <w:color w:val="000000" w:themeColor="text1"/>
          <w:lang w:val="en-US"/>
        </w:rPr>
      </w:pPr>
    </w:p>
    <w:p w14:paraId="6A60A18E" w14:textId="77777777" w:rsidR="00C00204" w:rsidRPr="00156087" w:rsidRDefault="000B734D" w:rsidP="008D6F82">
      <w:pPr>
        <w:spacing w:after="0" w:line="360" w:lineRule="auto"/>
        <w:rPr>
          <w:rFonts w:cstheme="minorHAnsi"/>
          <w:i/>
          <w:color w:val="000000" w:themeColor="text1"/>
          <w:lang w:val="en-US"/>
        </w:rPr>
      </w:pPr>
      <w:r w:rsidRPr="00156087">
        <w:rPr>
          <w:rFonts w:cstheme="minorHAnsi"/>
          <w:i/>
          <w:color w:val="000000" w:themeColor="text1"/>
          <w:lang w:val="en-US"/>
        </w:rPr>
        <w:t xml:space="preserve">2.3.2 </w:t>
      </w:r>
      <w:r w:rsidR="00C00204" w:rsidRPr="00156087">
        <w:rPr>
          <w:rFonts w:cstheme="minorHAnsi"/>
          <w:i/>
          <w:color w:val="000000" w:themeColor="text1"/>
          <w:lang w:val="en-US"/>
        </w:rPr>
        <w:t>Cancer Registry of Norway</w:t>
      </w:r>
    </w:p>
    <w:p w14:paraId="1822A1B9" w14:textId="320291E6" w:rsidR="00C00204" w:rsidRPr="00156087" w:rsidRDefault="00654343" w:rsidP="008D6F82">
      <w:pPr>
        <w:autoSpaceDE w:val="0"/>
        <w:autoSpaceDN w:val="0"/>
        <w:adjustRightInd w:val="0"/>
        <w:spacing w:after="0" w:line="360" w:lineRule="auto"/>
        <w:rPr>
          <w:rFonts w:cstheme="minorHAnsi"/>
          <w:color w:val="000000" w:themeColor="text1"/>
          <w:lang w:val="en-US"/>
        </w:rPr>
      </w:pPr>
      <w:r w:rsidRPr="00156087">
        <w:rPr>
          <w:rFonts w:cstheme="minorHAnsi"/>
          <w:color w:val="000000" w:themeColor="text1"/>
          <w:lang w:val="en-US"/>
        </w:rPr>
        <w:t>Since 1953, the</w:t>
      </w:r>
      <w:r w:rsidR="00CB2501" w:rsidRPr="00156087">
        <w:rPr>
          <w:rFonts w:cstheme="minorHAnsi"/>
          <w:color w:val="000000" w:themeColor="text1"/>
          <w:lang w:val="en-US"/>
        </w:rPr>
        <w:t xml:space="preserve"> nationwide</w:t>
      </w:r>
      <w:r w:rsidRPr="00156087">
        <w:rPr>
          <w:rFonts w:cstheme="minorHAnsi"/>
          <w:color w:val="000000" w:themeColor="text1"/>
          <w:lang w:val="en-US"/>
        </w:rPr>
        <w:t xml:space="preserve"> Cancer Registry of Norway has collected population-based data on incidence, survival, and prevalence of cancer</w:t>
      </w:r>
      <w:r w:rsidR="00257232" w:rsidRPr="00156087">
        <w:rPr>
          <w:rFonts w:cstheme="minorHAnsi"/>
          <w:color w:val="000000" w:themeColor="text1"/>
          <w:lang w:val="en-US"/>
        </w:rPr>
        <w:t>s</w:t>
      </w:r>
      <w:r w:rsidRPr="00156087">
        <w:rPr>
          <w:rFonts w:cstheme="minorHAnsi"/>
          <w:color w:val="000000" w:themeColor="text1"/>
          <w:lang w:val="en-US"/>
        </w:rPr>
        <w:t xml:space="preserve"> in Norway based on mandatory reporting of all cases of cancer. The registry contains information on tumor location, histology, and stage at time of diagnosis. </w:t>
      </w:r>
      <w:r w:rsidR="0051066C" w:rsidRPr="00156087">
        <w:rPr>
          <w:rFonts w:cstheme="minorHAnsi"/>
          <w:color w:val="000000" w:themeColor="text1"/>
          <w:lang w:val="en-US"/>
        </w:rPr>
        <w:t xml:space="preserve">Data on diagnosis </w:t>
      </w:r>
      <w:r w:rsidR="00F246F6" w:rsidRPr="00156087">
        <w:rPr>
          <w:rFonts w:cstheme="minorHAnsi"/>
          <w:color w:val="000000" w:themeColor="text1"/>
          <w:lang w:val="en-US"/>
        </w:rPr>
        <w:t>were</w:t>
      </w:r>
      <w:r w:rsidR="0051066C" w:rsidRPr="00156087">
        <w:rPr>
          <w:rFonts w:cstheme="minorHAnsi"/>
          <w:color w:val="000000" w:themeColor="text1"/>
          <w:lang w:val="en-US"/>
        </w:rPr>
        <w:t xml:space="preserve"> used in this study. </w:t>
      </w:r>
      <w:r w:rsidR="00C26737" w:rsidRPr="00156087">
        <w:rPr>
          <w:rFonts w:cstheme="minorHAnsi"/>
          <w:color w:val="000000" w:themeColor="text1"/>
          <w:lang w:val="en-US"/>
        </w:rPr>
        <w:t>Month</w:t>
      </w:r>
      <w:r w:rsidR="00C543E6" w:rsidRPr="00156087">
        <w:rPr>
          <w:rFonts w:cstheme="minorHAnsi"/>
          <w:color w:val="000000" w:themeColor="text1"/>
          <w:lang w:val="en-US"/>
        </w:rPr>
        <w:t xml:space="preserve"> of diagnosis was available</w:t>
      </w:r>
      <w:r w:rsidR="00C26737" w:rsidRPr="00156087">
        <w:rPr>
          <w:rFonts w:cstheme="minorHAnsi"/>
          <w:color w:val="000000" w:themeColor="text1"/>
          <w:lang w:val="en-US"/>
        </w:rPr>
        <w:t>,</w:t>
      </w:r>
      <w:r w:rsidR="00C543E6" w:rsidRPr="00156087">
        <w:rPr>
          <w:rFonts w:cstheme="minorHAnsi"/>
          <w:color w:val="000000" w:themeColor="text1"/>
          <w:lang w:val="en-US"/>
        </w:rPr>
        <w:t xml:space="preserve"> </w:t>
      </w:r>
      <w:r w:rsidR="00C26737" w:rsidRPr="00156087">
        <w:rPr>
          <w:rFonts w:cstheme="minorHAnsi"/>
          <w:color w:val="000000" w:themeColor="text1"/>
          <w:lang w:val="en-US"/>
        </w:rPr>
        <w:t>not the exact date</w:t>
      </w:r>
      <w:r w:rsidR="00C543E6" w:rsidRPr="00156087">
        <w:rPr>
          <w:rFonts w:cstheme="minorHAnsi"/>
          <w:color w:val="000000" w:themeColor="text1"/>
          <w:lang w:val="en-US"/>
        </w:rPr>
        <w:t>.</w:t>
      </w:r>
    </w:p>
    <w:p w14:paraId="2F0593E2" w14:textId="77777777" w:rsidR="008D6F82" w:rsidRPr="00156087" w:rsidRDefault="008D6F82" w:rsidP="008D6F82">
      <w:pPr>
        <w:autoSpaceDE w:val="0"/>
        <w:autoSpaceDN w:val="0"/>
        <w:adjustRightInd w:val="0"/>
        <w:spacing w:after="0" w:line="360" w:lineRule="auto"/>
        <w:rPr>
          <w:rFonts w:cstheme="minorHAnsi"/>
          <w:color w:val="000000" w:themeColor="text1"/>
          <w:lang w:val="en-US"/>
        </w:rPr>
      </w:pPr>
    </w:p>
    <w:p w14:paraId="03A30795" w14:textId="77777777" w:rsidR="00C41AE2" w:rsidRPr="00156087" w:rsidRDefault="000B734D" w:rsidP="008D6F82">
      <w:pPr>
        <w:spacing w:after="0" w:line="360" w:lineRule="auto"/>
        <w:rPr>
          <w:rFonts w:cstheme="minorHAnsi"/>
          <w:color w:val="000000" w:themeColor="text1"/>
          <w:u w:val="single"/>
          <w:lang w:val="en-US"/>
        </w:rPr>
      </w:pPr>
      <w:r w:rsidRPr="00156087">
        <w:rPr>
          <w:rFonts w:cstheme="minorHAnsi"/>
          <w:color w:val="000000" w:themeColor="text1"/>
          <w:u w:val="single"/>
          <w:lang w:val="en-US"/>
        </w:rPr>
        <w:t xml:space="preserve">2.4 </w:t>
      </w:r>
      <w:r w:rsidR="00C41AE2" w:rsidRPr="00156087">
        <w:rPr>
          <w:rFonts w:cstheme="minorHAnsi"/>
          <w:color w:val="000000" w:themeColor="text1"/>
          <w:u w:val="single"/>
          <w:lang w:val="en-US"/>
        </w:rPr>
        <w:t>Drugs</w:t>
      </w:r>
    </w:p>
    <w:p w14:paraId="20669CA6" w14:textId="77777777" w:rsidR="005F2185" w:rsidRPr="00156087" w:rsidRDefault="005F2185" w:rsidP="008D6F82">
      <w:pPr>
        <w:autoSpaceDE w:val="0"/>
        <w:autoSpaceDN w:val="0"/>
        <w:adjustRightInd w:val="0"/>
        <w:spacing w:after="0" w:line="360" w:lineRule="auto"/>
        <w:rPr>
          <w:rFonts w:cstheme="minorHAnsi"/>
          <w:color w:val="000000" w:themeColor="text1"/>
          <w:lang w:val="en-US"/>
        </w:rPr>
      </w:pPr>
      <w:r w:rsidRPr="00156087">
        <w:rPr>
          <w:rFonts w:cstheme="minorHAnsi"/>
          <w:color w:val="000000" w:themeColor="text1"/>
          <w:lang w:val="en-US"/>
        </w:rPr>
        <w:lastRenderedPageBreak/>
        <w:t xml:space="preserve">All drugs sold in Norway are classified according to the Anatomical Therapeutic Chemical (ATC) classification system (https://www.whocc.no/atc_ddd_index/). Drug quantities </w:t>
      </w:r>
      <w:r w:rsidR="00C113F0" w:rsidRPr="00156087">
        <w:rPr>
          <w:rFonts w:cstheme="minorHAnsi"/>
          <w:color w:val="000000" w:themeColor="text1"/>
          <w:lang w:val="en-US"/>
        </w:rPr>
        <w:t>were</w:t>
      </w:r>
      <w:r w:rsidRPr="00156087">
        <w:rPr>
          <w:rFonts w:cstheme="minorHAnsi"/>
          <w:color w:val="000000" w:themeColor="text1"/>
          <w:lang w:val="en-US"/>
        </w:rPr>
        <w:t xml:space="preserve"> in this study measured as Defined Daily Doses (DDD) (</w:t>
      </w:r>
      <w:r w:rsidRPr="00156087">
        <w:rPr>
          <w:rStyle w:val="Hyperlink"/>
          <w:rFonts w:cstheme="minorHAnsi"/>
          <w:color w:val="000000" w:themeColor="text1"/>
          <w:lang w:val="en-US"/>
        </w:rPr>
        <w:t>https://www.whocc.no/atc_ddd_index/</w:t>
      </w:r>
      <w:r w:rsidRPr="00156087">
        <w:rPr>
          <w:rFonts w:cstheme="minorHAnsi"/>
          <w:color w:val="000000" w:themeColor="text1"/>
          <w:lang w:val="en-US"/>
        </w:rPr>
        <w:t xml:space="preserve">). One DDD is the assumed average maintenance dose per day for a drug used for its main indication in adults. As examples, one DDD of oral codeine/paracetamol equals 120 mg codeine and one DDD of oral morphine equals 100 mg. </w:t>
      </w:r>
    </w:p>
    <w:p w14:paraId="57836D4D" w14:textId="77777777" w:rsidR="008D6F82" w:rsidRPr="00156087" w:rsidRDefault="008D6F82" w:rsidP="008D6F82">
      <w:pPr>
        <w:autoSpaceDE w:val="0"/>
        <w:autoSpaceDN w:val="0"/>
        <w:adjustRightInd w:val="0"/>
        <w:spacing w:after="0" w:line="360" w:lineRule="auto"/>
        <w:rPr>
          <w:rFonts w:cstheme="minorHAnsi"/>
          <w:color w:val="000000" w:themeColor="text1"/>
          <w:lang w:val="en-US"/>
        </w:rPr>
      </w:pPr>
    </w:p>
    <w:p w14:paraId="1B9444A7" w14:textId="32B04988" w:rsidR="005F2185" w:rsidRPr="00156087" w:rsidRDefault="005F2185" w:rsidP="008D6F82">
      <w:pPr>
        <w:autoSpaceDE w:val="0"/>
        <w:autoSpaceDN w:val="0"/>
        <w:adjustRightInd w:val="0"/>
        <w:spacing w:after="0" w:line="360" w:lineRule="auto"/>
        <w:rPr>
          <w:rFonts w:cstheme="minorHAnsi"/>
          <w:color w:val="000000" w:themeColor="text1"/>
          <w:lang w:val="en-US"/>
        </w:rPr>
      </w:pPr>
      <w:r w:rsidRPr="00156087">
        <w:rPr>
          <w:rFonts w:cstheme="minorHAnsi"/>
          <w:color w:val="000000" w:themeColor="text1"/>
          <w:lang w:val="en-US"/>
        </w:rPr>
        <w:t xml:space="preserve">In Norway, opioids are only available by prescription. The included opioids are covered by ATC group N02A. This ATC code covers all opioids marketed in Norway with the exception of methadone, buprenorphine 8 mg, buprenorphine/naloxone combination, and opioids only used by anesthesiologists in hospitals (alfentanil, remifentanil, and </w:t>
      </w:r>
      <w:proofErr w:type="spellStart"/>
      <w:r w:rsidRPr="00156087">
        <w:rPr>
          <w:rFonts w:cstheme="minorHAnsi"/>
          <w:color w:val="000000" w:themeColor="text1"/>
          <w:lang w:val="en-US"/>
        </w:rPr>
        <w:t>sulfentanil</w:t>
      </w:r>
      <w:proofErr w:type="spellEnd"/>
      <w:r w:rsidRPr="00156087">
        <w:rPr>
          <w:rFonts w:cstheme="minorHAnsi"/>
          <w:color w:val="000000" w:themeColor="text1"/>
          <w:lang w:val="en-US"/>
        </w:rPr>
        <w:t>). Methadone, buprenorphine 8 mg (Subutex, Reckitt Benckiser, Slough, Berkshire, England), and buprenorphine/naloxone (Suboxone, Reckitt Benckiser, Slough, Berkshire, England) were not included</w:t>
      </w:r>
      <w:r w:rsidR="00C826FC" w:rsidRPr="00156087">
        <w:rPr>
          <w:rFonts w:cstheme="minorHAnsi"/>
          <w:color w:val="000000" w:themeColor="text1"/>
          <w:lang w:val="en-US"/>
        </w:rPr>
        <w:t>,</w:t>
      </w:r>
      <w:r w:rsidRPr="00156087">
        <w:rPr>
          <w:rFonts w:cstheme="minorHAnsi"/>
          <w:color w:val="000000" w:themeColor="text1"/>
          <w:lang w:val="en-US"/>
        </w:rPr>
        <w:t xml:space="preserve"> because they are </w:t>
      </w:r>
      <w:r w:rsidR="00257232" w:rsidRPr="00156087">
        <w:rPr>
          <w:rFonts w:cstheme="minorHAnsi"/>
          <w:color w:val="000000" w:themeColor="text1"/>
          <w:lang w:val="en-US"/>
        </w:rPr>
        <w:t>mainly</w:t>
      </w:r>
      <w:r w:rsidRPr="00156087">
        <w:rPr>
          <w:rFonts w:cstheme="minorHAnsi"/>
          <w:color w:val="000000" w:themeColor="text1"/>
          <w:lang w:val="en-US"/>
        </w:rPr>
        <w:t xml:space="preserve"> used in </w:t>
      </w:r>
      <w:r w:rsidR="00642BFE" w:rsidRPr="00156087">
        <w:rPr>
          <w:rFonts w:cstheme="minorHAnsi"/>
          <w:color w:val="000000" w:themeColor="text1"/>
          <w:lang w:val="en-US"/>
        </w:rPr>
        <w:t xml:space="preserve">addiction medicine as </w:t>
      </w:r>
      <w:r w:rsidRPr="00156087">
        <w:rPr>
          <w:rFonts w:cstheme="minorHAnsi"/>
          <w:color w:val="000000" w:themeColor="text1"/>
          <w:lang w:val="en-US"/>
        </w:rPr>
        <w:t xml:space="preserve">opioid maintenance therapy and are rarely used in pain management in Norway. </w:t>
      </w:r>
    </w:p>
    <w:p w14:paraId="7D11375A" w14:textId="77777777" w:rsidR="008D6F82" w:rsidRPr="00156087" w:rsidRDefault="008D6F82" w:rsidP="008D6F82">
      <w:pPr>
        <w:autoSpaceDE w:val="0"/>
        <w:autoSpaceDN w:val="0"/>
        <w:adjustRightInd w:val="0"/>
        <w:spacing w:after="0" w:line="360" w:lineRule="auto"/>
        <w:rPr>
          <w:rFonts w:cstheme="minorHAnsi"/>
          <w:color w:val="000000" w:themeColor="text1"/>
          <w:lang w:val="en-US"/>
        </w:rPr>
      </w:pPr>
    </w:p>
    <w:p w14:paraId="221A84ED" w14:textId="0AE57D99" w:rsidR="005F2185" w:rsidRPr="00156087" w:rsidRDefault="005F2185" w:rsidP="008D6F82">
      <w:pPr>
        <w:autoSpaceDE w:val="0"/>
        <w:autoSpaceDN w:val="0"/>
        <w:adjustRightInd w:val="0"/>
        <w:spacing w:after="0" w:line="360" w:lineRule="auto"/>
        <w:rPr>
          <w:rFonts w:cstheme="minorHAnsi"/>
          <w:color w:val="000000" w:themeColor="text1"/>
          <w:lang w:val="en-US"/>
        </w:rPr>
      </w:pPr>
      <w:r w:rsidRPr="00156087">
        <w:rPr>
          <w:rFonts w:cstheme="minorHAnsi"/>
          <w:color w:val="000000" w:themeColor="text1"/>
          <w:lang w:val="en-US"/>
        </w:rPr>
        <w:t>Benzodiazepines (ATC codes N03AE01, N05BA and N05CD), the benzodiazepine-related hypnotics zopiclone and zolpidem (ATC code N05CF), and the gabapentinoids</w:t>
      </w:r>
      <w:r w:rsidR="00271B04" w:rsidRPr="00156087">
        <w:rPr>
          <w:rFonts w:cstheme="minorHAnsi"/>
          <w:color w:val="000000" w:themeColor="text1"/>
          <w:lang w:val="en-US"/>
        </w:rPr>
        <w:t>,</w:t>
      </w:r>
      <w:r w:rsidRPr="00156087">
        <w:rPr>
          <w:rFonts w:cstheme="minorHAnsi"/>
          <w:color w:val="000000" w:themeColor="text1"/>
          <w:lang w:val="en-US"/>
        </w:rPr>
        <w:t xml:space="preserve"> gabapentin and </w:t>
      </w:r>
      <w:proofErr w:type="spellStart"/>
      <w:r w:rsidRPr="00156087">
        <w:rPr>
          <w:rFonts w:cstheme="minorHAnsi"/>
          <w:color w:val="000000" w:themeColor="text1"/>
          <w:lang w:val="en-US"/>
        </w:rPr>
        <w:t>prebagalin</w:t>
      </w:r>
      <w:proofErr w:type="spellEnd"/>
      <w:r w:rsidRPr="00156087">
        <w:rPr>
          <w:rFonts w:cstheme="minorHAnsi"/>
          <w:color w:val="000000" w:themeColor="text1"/>
          <w:lang w:val="en-US"/>
        </w:rPr>
        <w:t xml:space="preserve"> (ATC code N03AX16, N03AX12)</w:t>
      </w:r>
      <w:r w:rsidR="00271B04" w:rsidRPr="00156087">
        <w:rPr>
          <w:rFonts w:cstheme="minorHAnsi"/>
          <w:color w:val="000000" w:themeColor="text1"/>
          <w:lang w:val="en-US"/>
        </w:rPr>
        <w:t>,</w:t>
      </w:r>
      <w:r w:rsidRPr="00156087">
        <w:rPr>
          <w:rFonts w:cstheme="minorHAnsi"/>
          <w:color w:val="000000" w:themeColor="text1"/>
          <w:lang w:val="en-US"/>
        </w:rPr>
        <w:t xml:space="preserve"> are only available by prescription in Norway. Small quantities of paracetamol (ATC code N02BE01, N02BE51) and NSAIDs (ATC code M01A) are available over the counter</w:t>
      </w:r>
      <w:r w:rsidR="00642BFE" w:rsidRPr="00156087">
        <w:rPr>
          <w:rFonts w:cstheme="minorHAnsi"/>
          <w:color w:val="000000" w:themeColor="text1"/>
          <w:lang w:val="en-US"/>
        </w:rPr>
        <w:t xml:space="preserve"> </w:t>
      </w:r>
      <w:r w:rsidRPr="00156087">
        <w:rPr>
          <w:rFonts w:cstheme="minorHAnsi"/>
          <w:color w:val="000000" w:themeColor="text1"/>
          <w:lang w:val="en-US"/>
        </w:rPr>
        <w:t xml:space="preserve">in Norway. </w:t>
      </w:r>
    </w:p>
    <w:p w14:paraId="211004E4" w14:textId="77777777" w:rsidR="008D6F82" w:rsidRPr="00156087" w:rsidRDefault="008D6F82" w:rsidP="008D6F82">
      <w:pPr>
        <w:autoSpaceDE w:val="0"/>
        <w:autoSpaceDN w:val="0"/>
        <w:adjustRightInd w:val="0"/>
        <w:spacing w:after="0" w:line="360" w:lineRule="auto"/>
        <w:rPr>
          <w:rFonts w:cstheme="minorHAnsi"/>
          <w:color w:val="000000" w:themeColor="text1"/>
          <w:lang w:val="en-US"/>
        </w:rPr>
      </w:pPr>
    </w:p>
    <w:p w14:paraId="6E6A2BCC" w14:textId="30124C2F" w:rsidR="00BF3BEF" w:rsidRPr="00156087" w:rsidRDefault="000B734D" w:rsidP="008D6F82">
      <w:pPr>
        <w:spacing w:after="0" w:line="360" w:lineRule="auto"/>
        <w:rPr>
          <w:rFonts w:cstheme="minorHAnsi"/>
          <w:color w:val="000000" w:themeColor="text1"/>
          <w:u w:val="single"/>
          <w:lang w:val="en-US"/>
        </w:rPr>
      </w:pPr>
      <w:r w:rsidRPr="00156087">
        <w:rPr>
          <w:rFonts w:cstheme="minorHAnsi"/>
          <w:color w:val="000000" w:themeColor="text1"/>
          <w:u w:val="single"/>
          <w:lang w:val="en-US"/>
        </w:rPr>
        <w:t xml:space="preserve">2.5 </w:t>
      </w:r>
      <w:r w:rsidR="00BF3BEF" w:rsidRPr="00156087">
        <w:rPr>
          <w:rFonts w:cstheme="minorHAnsi"/>
          <w:color w:val="000000" w:themeColor="text1"/>
          <w:u w:val="single"/>
          <w:lang w:val="en-US"/>
        </w:rPr>
        <w:t>Analys</w:t>
      </w:r>
      <w:r w:rsidR="00271B04" w:rsidRPr="00156087">
        <w:rPr>
          <w:rFonts w:cstheme="minorHAnsi"/>
          <w:color w:val="000000" w:themeColor="text1"/>
          <w:u w:val="single"/>
          <w:lang w:val="en-US"/>
        </w:rPr>
        <w:t>i</w:t>
      </w:r>
      <w:r w:rsidR="008D6F82" w:rsidRPr="00156087">
        <w:rPr>
          <w:rFonts w:cstheme="minorHAnsi"/>
          <w:color w:val="000000" w:themeColor="text1"/>
          <w:u w:val="single"/>
          <w:lang w:val="en-US"/>
        </w:rPr>
        <w:t>s strategy and statistics</w:t>
      </w:r>
    </w:p>
    <w:p w14:paraId="7A1F17AF" w14:textId="11E4B3C3" w:rsidR="006D0425" w:rsidRPr="00156087" w:rsidRDefault="00CC45BB" w:rsidP="008D6F82">
      <w:pPr>
        <w:autoSpaceDE w:val="0"/>
        <w:autoSpaceDN w:val="0"/>
        <w:adjustRightInd w:val="0"/>
        <w:spacing w:after="0" w:line="360" w:lineRule="auto"/>
        <w:rPr>
          <w:rFonts w:cstheme="minorHAnsi"/>
          <w:color w:val="000000" w:themeColor="text1"/>
          <w:lang w:val="en-US"/>
        </w:rPr>
      </w:pPr>
      <w:r w:rsidRPr="00156087">
        <w:rPr>
          <w:rFonts w:cstheme="minorHAnsi"/>
          <w:color w:val="000000" w:themeColor="text1"/>
          <w:lang w:val="en-US"/>
        </w:rPr>
        <w:t xml:space="preserve">The analyses of drug consumption were based on prescriptions from </w:t>
      </w:r>
      <w:r w:rsidR="00746C78" w:rsidRPr="00156087">
        <w:rPr>
          <w:rFonts w:cstheme="minorHAnsi"/>
          <w:color w:val="000000" w:themeColor="text1"/>
          <w:lang w:val="en-US"/>
        </w:rPr>
        <w:t xml:space="preserve">2005 </w:t>
      </w:r>
      <w:r w:rsidR="001336E6" w:rsidRPr="00156087">
        <w:rPr>
          <w:rFonts w:cstheme="minorHAnsi"/>
          <w:color w:val="000000" w:themeColor="text1"/>
          <w:lang w:val="en-US"/>
        </w:rPr>
        <w:t>t</w:t>
      </w:r>
      <w:r w:rsidR="00642BFE" w:rsidRPr="00156087">
        <w:rPr>
          <w:rFonts w:cstheme="minorHAnsi"/>
          <w:color w:val="000000" w:themeColor="text1"/>
          <w:lang w:val="en-US"/>
        </w:rPr>
        <w:t>o</w:t>
      </w:r>
      <w:r w:rsidR="001336E6" w:rsidRPr="00156087">
        <w:rPr>
          <w:rFonts w:cstheme="minorHAnsi"/>
          <w:color w:val="000000" w:themeColor="text1"/>
          <w:lang w:val="en-US"/>
        </w:rPr>
        <w:t xml:space="preserve"> </w:t>
      </w:r>
      <w:r w:rsidR="00746C78" w:rsidRPr="00156087">
        <w:rPr>
          <w:rFonts w:cstheme="minorHAnsi"/>
          <w:color w:val="000000" w:themeColor="text1"/>
          <w:lang w:val="en-US"/>
        </w:rPr>
        <w:t>2012.</w:t>
      </w:r>
      <w:r w:rsidR="00C113F0" w:rsidRPr="00156087">
        <w:rPr>
          <w:rFonts w:cstheme="minorHAnsi"/>
          <w:color w:val="000000" w:themeColor="text1"/>
          <w:lang w:val="en-US"/>
        </w:rPr>
        <w:t xml:space="preserve"> </w:t>
      </w:r>
      <w:r w:rsidR="00195BFE" w:rsidRPr="00156087">
        <w:rPr>
          <w:rFonts w:cstheme="minorHAnsi"/>
          <w:color w:val="000000" w:themeColor="text1"/>
          <w:lang w:val="en-US"/>
        </w:rPr>
        <w:t xml:space="preserve">Some results were </w:t>
      </w:r>
      <w:r w:rsidR="00D9177C" w:rsidRPr="00156087">
        <w:rPr>
          <w:rFonts w:cstheme="minorHAnsi"/>
          <w:color w:val="000000" w:themeColor="text1"/>
          <w:lang w:val="en-US"/>
        </w:rPr>
        <w:t>p</w:t>
      </w:r>
      <w:r w:rsidR="006D0425" w:rsidRPr="00156087">
        <w:rPr>
          <w:rFonts w:cstheme="minorHAnsi"/>
          <w:color w:val="000000" w:themeColor="text1"/>
          <w:lang w:val="en-US"/>
        </w:rPr>
        <w:t xml:space="preserve">resented separately for </w:t>
      </w:r>
      <w:r w:rsidR="00746C78" w:rsidRPr="00156087">
        <w:rPr>
          <w:rFonts w:cstheme="minorHAnsi"/>
          <w:color w:val="000000" w:themeColor="text1"/>
          <w:lang w:val="en-US"/>
        </w:rPr>
        <w:t xml:space="preserve">those being alive </w:t>
      </w:r>
      <w:r w:rsidR="006D0425" w:rsidRPr="00156087">
        <w:rPr>
          <w:rFonts w:cstheme="minorHAnsi"/>
          <w:color w:val="000000" w:themeColor="text1"/>
          <w:lang w:val="en-US"/>
        </w:rPr>
        <w:t>10, 20 and 30 y</w:t>
      </w:r>
      <w:r w:rsidR="001C317B" w:rsidRPr="00156087">
        <w:rPr>
          <w:rFonts w:cstheme="minorHAnsi"/>
          <w:color w:val="000000" w:themeColor="text1"/>
          <w:lang w:val="en-US"/>
        </w:rPr>
        <w:t>ears after diagnosis</w:t>
      </w:r>
      <w:r w:rsidR="00271B04" w:rsidRPr="00156087">
        <w:rPr>
          <w:rFonts w:cstheme="minorHAnsi"/>
          <w:color w:val="000000" w:themeColor="text1"/>
          <w:lang w:val="en-US"/>
        </w:rPr>
        <w:t>,</w:t>
      </w:r>
      <w:r w:rsidR="00EF4CAE" w:rsidRPr="00156087">
        <w:rPr>
          <w:rFonts w:cstheme="minorHAnsi"/>
          <w:color w:val="000000" w:themeColor="text1"/>
          <w:lang w:val="en-US"/>
        </w:rPr>
        <w:t xml:space="preserve"> because 1) these patients had received oncological treatment in different decades</w:t>
      </w:r>
      <w:r w:rsidR="00C826FC" w:rsidRPr="00156087">
        <w:rPr>
          <w:rFonts w:cstheme="minorHAnsi"/>
          <w:color w:val="000000" w:themeColor="text1"/>
          <w:lang w:val="en-US"/>
        </w:rPr>
        <w:t>,</w:t>
      </w:r>
      <w:r w:rsidR="00EF4CAE" w:rsidRPr="00156087">
        <w:rPr>
          <w:rFonts w:cstheme="minorHAnsi"/>
          <w:color w:val="000000" w:themeColor="text1"/>
          <w:lang w:val="en-US"/>
        </w:rPr>
        <w:t xml:space="preserve"> and 2) the large difference in time since cancer diagnosis/treatment</w:t>
      </w:r>
      <w:r w:rsidR="001C317B" w:rsidRPr="00156087">
        <w:rPr>
          <w:rFonts w:cstheme="minorHAnsi"/>
          <w:color w:val="000000" w:themeColor="text1"/>
          <w:lang w:val="en-US"/>
        </w:rPr>
        <w:t>. The study population was further stratified into persons</w:t>
      </w:r>
      <w:r w:rsidR="00271B04" w:rsidRPr="00156087">
        <w:rPr>
          <w:rFonts w:cstheme="minorHAnsi"/>
          <w:color w:val="000000" w:themeColor="text1"/>
          <w:lang w:val="en-US"/>
        </w:rPr>
        <w:t>,</w:t>
      </w:r>
      <w:r w:rsidR="001C317B" w:rsidRPr="00156087">
        <w:rPr>
          <w:rFonts w:cstheme="minorHAnsi"/>
          <w:color w:val="000000" w:themeColor="text1"/>
          <w:lang w:val="en-US"/>
        </w:rPr>
        <w:t xml:space="preserve"> who were diagnosed with cancer</w:t>
      </w:r>
      <w:r w:rsidR="00C826FC" w:rsidRPr="00156087">
        <w:rPr>
          <w:rFonts w:cstheme="minorHAnsi"/>
          <w:color w:val="000000" w:themeColor="text1"/>
          <w:lang w:val="en-US"/>
        </w:rPr>
        <w:t>,</w:t>
      </w:r>
      <w:r w:rsidR="001C317B" w:rsidRPr="00156087">
        <w:rPr>
          <w:rFonts w:cstheme="minorHAnsi"/>
          <w:color w:val="000000" w:themeColor="text1"/>
          <w:lang w:val="en-US"/>
        </w:rPr>
        <w:t xml:space="preserve"> </w:t>
      </w:r>
      <w:r w:rsidRPr="00156087">
        <w:rPr>
          <w:rFonts w:cstheme="minorHAnsi"/>
          <w:color w:val="000000" w:themeColor="text1"/>
          <w:lang w:val="en-US"/>
        </w:rPr>
        <w:t xml:space="preserve">when they were </w:t>
      </w:r>
      <w:r w:rsidR="00746C78" w:rsidRPr="00156087">
        <w:rPr>
          <w:rFonts w:cstheme="minorHAnsi"/>
          <w:color w:val="000000" w:themeColor="text1"/>
          <w:lang w:val="en-US"/>
        </w:rPr>
        <w:t xml:space="preserve">from </w:t>
      </w:r>
      <w:r w:rsidR="001C317B" w:rsidRPr="00156087">
        <w:rPr>
          <w:rFonts w:cstheme="minorHAnsi"/>
          <w:color w:val="000000" w:themeColor="text1"/>
          <w:lang w:val="en-US"/>
        </w:rPr>
        <w:t xml:space="preserve">0 </w:t>
      </w:r>
      <w:r w:rsidR="00746C78" w:rsidRPr="00156087">
        <w:rPr>
          <w:rFonts w:cstheme="minorHAnsi"/>
          <w:color w:val="000000" w:themeColor="text1"/>
          <w:lang w:val="en-US"/>
        </w:rPr>
        <w:t xml:space="preserve">to </w:t>
      </w:r>
      <w:r w:rsidR="00C500EA" w:rsidRPr="00156087">
        <w:rPr>
          <w:rFonts w:cstheme="minorHAnsi"/>
          <w:color w:val="000000" w:themeColor="text1"/>
          <w:lang w:val="en-US"/>
        </w:rPr>
        <w:t xml:space="preserve">9 years of age, </w:t>
      </w:r>
      <w:r w:rsidR="00746C78" w:rsidRPr="00156087">
        <w:rPr>
          <w:rFonts w:cstheme="minorHAnsi"/>
          <w:color w:val="000000" w:themeColor="text1"/>
          <w:lang w:val="en-US"/>
        </w:rPr>
        <w:t xml:space="preserve">from </w:t>
      </w:r>
      <w:r w:rsidR="001C317B" w:rsidRPr="00156087">
        <w:rPr>
          <w:rFonts w:cstheme="minorHAnsi"/>
          <w:color w:val="000000" w:themeColor="text1"/>
          <w:lang w:val="en-US"/>
        </w:rPr>
        <w:t xml:space="preserve">10 </w:t>
      </w:r>
      <w:r w:rsidR="00746C78" w:rsidRPr="00156087">
        <w:rPr>
          <w:rFonts w:cstheme="minorHAnsi"/>
          <w:color w:val="000000" w:themeColor="text1"/>
          <w:lang w:val="en-US"/>
        </w:rPr>
        <w:t xml:space="preserve">to </w:t>
      </w:r>
      <w:r w:rsidR="00C500EA" w:rsidRPr="00156087">
        <w:rPr>
          <w:rFonts w:cstheme="minorHAnsi"/>
          <w:color w:val="000000" w:themeColor="text1"/>
          <w:lang w:val="en-US"/>
        </w:rPr>
        <w:t>19</w:t>
      </w:r>
      <w:r w:rsidR="001C317B" w:rsidRPr="00156087">
        <w:rPr>
          <w:rFonts w:cstheme="minorHAnsi"/>
          <w:color w:val="000000" w:themeColor="text1"/>
          <w:lang w:val="en-US"/>
        </w:rPr>
        <w:t xml:space="preserve"> years of age</w:t>
      </w:r>
      <w:r w:rsidR="00C500EA" w:rsidRPr="00156087">
        <w:rPr>
          <w:rFonts w:cstheme="minorHAnsi"/>
          <w:color w:val="000000" w:themeColor="text1"/>
          <w:lang w:val="en-US"/>
        </w:rPr>
        <w:t xml:space="preserve"> and from 20 to </w:t>
      </w:r>
      <w:r w:rsidR="00271B04" w:rsidRPr="00156087">
        <w:rPr>
          <w:rFonts w:cstheme="minorHAnsi"/>
          <w:color w:val="000000" w:themeColor="text1"/>
          <w:lang w:val="en-US"/>
        </w:rPr>
        <w:t>2</w:t>
      </w:r>
      <w:r w:rsidR="00C500EA" w:rsidRPr="00156087">
        <w:rPr>
          <w:rFonts w:cstheme="minorHAnsi"/>
          <w:color w:val="000000" w:themeColor="text1"/>
          <w:lang w:val="en-US"/>
        </w:rPr>
        <w:t>9 years of age</w:t>
      </w:r>
      <w:r w:rsidR="001C317B" w:rsidRPr="00156087">
        <w:rPr>
          <w:rFonts w:cstheme="minorHAnsi"/>
          <w:color w:val="000000" w:themeColor="text1"/>
          <w:lang w:val="en-US"/>
        </w:rPr>
        <w:t>.</w:t>
      </w:r>
      <w:r w:rsidR="00EF4CAE" w:rsidRPr="00156087">
        <w:rPr>
          <w:rFonts w:cstheme="minorHAnsi"/>
          <w:color w:val="000000" w:themeColor="text1"/>
          <w:lang w:val="en-US"/>
        </w:rPr>
        <w:t xml:space="preserve"> This stratification was motivated by differences in developmental stage at time of diagnosis/treatment and differences in cancer diagnoses and treatment.</w:t>
      </w:r>
      <w:r w:rsidR="001C317B" w:rsidRPr="00156087">
        <w:rPr>
          <w:rFonts w:cstheme="minorHAnsi"/>
          <w:color w:val="000000" w:themeColor="text1"/>
          <w:lang w:val="en-US"/>
        </w:rPr>
        <w:t xml:space="preserve"> </w:t>
      </w:r>
      <w:r w:rsidR="00746C78" w:rsidRPr="00156087">
        <w:rPr>
          <w:rFonts w:cstheme="minorHAnsi"/>
          <w:color w:val="000000" w:themeColor="text1"/>
          <w:lang w:val="en-US"/>
        </w:rPr>
        <w:t>Only persons who were from 10 to 1</w:t>
      </w:r>
      <w:r w:rsidR="00C500EA" w:rsidRPr="00156087">
        <w:rPr>
          <w:rFonts w:cstheme="minorHAnsi"/>
          <w:color w:val="000000" w:themeColor="text1"/>
          <w:lang w:val="en-US"/>
        </w:rPr>
        <w:t>9</w:t>
      </w:r>
      <w:r w:rsidR="00746C78" w:rsidRPr="00156087">
        <w:rPr>
          <w:rFonts w:cstheme="minorHAnsi"/>
          <w:color w:val="000000" w:themeColor="text1"/>
          <w:lang w:val="en-US"/>
        </w:rPr>
        <w:t xml:space="preserve"> </w:t>
      </w:r>
      <w:r w:rsidR="00C500EA" w:rsidRPr="00156087">
        <w:rPr>
          <w:rFonts w:cstheme="minorHAnsi"/>
          <w:color w:val="000000" w:themeColor="text1"/>
          <w:lang w:val="en-US"/>
        </w:rPr>
        <w:t xml:space="preserve">and from 20 to 29 </w:t>
      </w:r>
      <w:r w:rsidR="00746C78" w:rsidRPr="00156087">
        <w:rPr>
          <w:rFonts w:cstheme="minorHAnsi"/>
          <w:color w:val="000000" w:themeColor="text1"/>
          <w:lang w:val="en-US"/>
        </w:rPr>
        <w:t xml:space="preserve">years of age </w:t>
      </w:r>
      <w:r w:rsidRPr="00156087">
        <w:rPr>
          <w:rFonts w:cstheme="minorHAnsi"/>
          <w:color w:val="000000" w:themeColor="text1"/>
          <w:lang w:val="en-US"/>
        </w:rPr>
        <w:t xml:space="preserve">were </w:t>
      </w:r>
      <w:r w:rsidR="00746C78" w:rsidRPr="00156087">
        <w:rPr>
          <w:rFonts w:cstheme="minorHAnsi"/>
          <w:color w:val="000000" w:themeColor="text1"/>
          <w:lang w:val="en-US"/>
        </w:rPr>
        <w:t>included in the group with data 10 years after diagnosis</w:t>
      </w:r>
      <w:r w:rsidR="00271B04" w:rsidRPr="00156087">
        <w:rPr>
          <w:rFonts w:cstheme="minorHAnsi"/>
          <w:color w:val="000000" w:themeColor="text1"/>
          <w:lang w:val="en-US"/>
        </w:rPr>
        <w:t>,</w:t>
      </w:r>
      <w:r w:rsidR="00EF4CAE" w:rsidRPr="00156087">
        <w:rPr>
          <w:rFonts w:cstheme="minorHAnsi"/>
          <w:color w:val="000000" w:themeColor="text1"/>
          <w:lang w:val="en-US"/>
        </w:rPr>
        <w:t xml:space="preserve"> because children below 8 years of age would not have reached adult age 10 years after diagnosis</w:t>
      </w:r>
      <w:r w:rsidR="00746C78" w:rsidRPr="00156087">
        <w:rPr>
          <w:rFonts w:cstheme="minorHAnsi"/>
          <w:color w:val="000000" w:themeColor="text1"/>
          <w:lang w:val="en-US"/>
        </w:rPr>
        <w:t xml:space="preserve">. </w:t>
      </w:r>
    </w:p>
    <w:p w14:paraId="15DC880B" w14:textId="77777777" w:rsidR="00C113F0" w:rsidRPr="00156087" w:rsidRDefault="00C113F0" w:rsidP="008D6F82">
      <w:pPr>
        <w:autoSpaceDE w:val="0"/>
        <w:autoSpaceDN w:val="0"/>
        <w:adjustRightInd w:val="0"/>
        <w:spacing w:after="0" w:line="360" w:lineRule="auto"/>
        <w:rPr>
          <w:rFonts w:cstheme="minorHAnsi"/>
          <w:color w:val="000000" w:themeColor="text1"/>
          <w:lang w:val="en-US"/>
        </w:rPr>
      </w:pPr>
    </w:p>
    <w:p w14:paraId="485BBE06" w14:textId="38D68C1F" w:rsidR="00C113F0" w:rsidRPr="00156087" w:rsidRDefault="00FF0AAE" w:rsidP="008D6F82">
      <w:pPr>
        <w:autoSpaceDE w:val="0"/>
        <w:autoSpaceDN w:val="0"/>
        <w:adjustRightInd w:val="0"/>
        <w:spacing w:after="0" w:line="360" w:lineRule="auto"/>
        <w:rPr>
          <w:rFonts w:cstheme="minorHAnsi"/>
          <w:color w:val="000000" w:themeColor="text1"/>
          <w:lang w:val="en-US"/>
        </w:rPr>
      </w:pPr>
      <w:r w:rsidRPr="00156087">
        <w:rPr>
          <w:rFonts w:cstheme="minorHAnsi"/>
          <w:color w:val="000000" w:themeColor="text1"/>
          <w:lang w:val="en-US"/>
        </w:rPr>
        <w:t xml:space="preserve">Each year after diagnosis </w:t>
      </w:r>
      <w:r w:rsidR="00FF4BAD" w:rsidRPr="00156087">
        <w:rPr>
          <w:rFonts w:cstheme="minorHAnsi"/>
          <w:color w:val="000000" w:themeColor="text1"/>
          <w:lang w:val="en-US"/>
        </w:rPr>
        <w:t>was</w:t>
      </w:r>
      <w:r w:rsidRPr="00156087">
        <w:rPr>
          <w:rFonts w:cstheme="minorHAnsi"/>
          <w:color w:val="000000" w:themeColor="text1"/>
          <w:lang w:val="en-US"/>
        </w:rPr>
        <w:t xml:space="preserve"> defined as a 365-day period from the </w:t>
      </w:r>
      <w:r w:rsidR="00B94B1A" w:rsidRPr="00156087">
        <w:rPr>
          <w:rFonts w:cstheme="minorHAnsi"/>
          <w:color w:val="000000" w:themeColor="text1"/>
          <w:lang w:val="en-US"/>
        </w:rPr>
        <w:t xml:space="preserve">first day of the month </w:t>
      </w:r>
      <w:r w:rsidRPr="00156087">
        <w:rPr>
          <w:rFonts w:cstheme="minorHAnsi"/>
          <w:color w:val="000000" w:themeColor="text1"/>
          <w:lang w:val="en-US"/>
        </w:rPr>
        <w:t>of diagnosis</w:t>
      </w:r>
      <w:r w:rsidR="00D9177C" w:rsidRPr="00156087">
        <w:rPr>
          <w:rFonts w:cstheme="minorHAnsi"/>
          <w:color w:val="000000" w:themeColor="text1"/>
          <w:lang w:val="en-US"/>
        </w:rPr>
        <w:t>. C</w:t>
      </w:r>
      <w:r w:rsidRPr="00156087">
        <w:rPr>
          <w:rFonts w:cstheme="minorHAnsi"/>
          <w:color w:val="000000" w:themeColor="text1"/>
          <w:lang w:val="en-US"/>
        </w:rPr>
        <w:t>onsequently</w:t>
      </w:r>
      <w:r w:rsidR="00271B04" w:rsidRPr="00156087">
        <w:rPr>
          <w:rFonts w:cstheme="minorHAnsi"/>
          <w:color w:val="000000" w:themeColor="text1"/>
          <w:lang w:val="en-US"/>
        </w:rPr>
        <w:t>,</w:t>
      </w:r>
      <w:r w:rsidRPr="00156087">
        <w:rPr>
          <w:rFonts w:cstheme="minorHAnsi"/>
          <w:color w:val="000000" w:themeColor="text1"/>
          <w:lang w:val="en-US"/>
        </w:rPr>
        <w:t xml:space="preserve"> the tenth year after diagnosis </w:t>
      </w:r>
      <w:r w:rsidR="00FF4BAD" w:rsidRPr="00156087">
        <w:rPr>
          <w:rFonts w:cstheme="minorHAnsi"/>
          <w:color w:val="000000" w:themeColor="text1"/>
          <w:lang w:val="en-US"/>
        </w:rPr>
        <w:t>was</w:t>
      </w:r>
      <w:r w:rsidRPr="00156087">
        <w:rPr>
          <w:rFonts w:cstheme="minorHAnsi"/>
          <w:color w:val="000000" w:themeColor="text1"/>
          <w:lang w:val="en-US"/>
        </w:rPr>
        <w:t xml:space="preserve"> not a calendar year</w:t>
      </w:r>
      <w:r w:rsidR="00271B04" w:rsidRPr="00156087">
        <w:rPr>
          <w:rFonts w:cstheme="minorHAnsi"/>
          <w:color w:val="000000" w:themeColor="text1"/>
          <w:lang w:val="en-US"/>
        </w:rPr>
        <w:t>,</w:t>
      </w:r>
      <w:r w:rsidRPr="00156087">
        <w:rPr>
          <w:rFonts w:cstheme="minorHAnsi"/>
          <w:color w:val="000000" w:themeColor="text1"/>
          <w:lang w:val="en-US"/>
        </w:rPr>
        <w:t xml:space="preserve"> but the 365-day period </w:t>
      </w:r>
      <w:r w:rsidR="009D017E" w:rsidRPr="00156087">
        <w:rPr>
          <w:rFonts w:cstheme="minorHAnsi"/>
          <w:color w:val="000000" w:themeColor="text1"/>
          <w:lang w:val="en-US"/>
        </w:rPr>
        <w:t xml:space="preserve">starting </w:t>
      </w:r>
      <w:r w:rsidR="009D017E" w:rsidRPr="00156087">
        <w:rPr>
          <w:rFonts w:cstheme="minorHAnsi"/>
          <w:color w:val="000000" w:themeColor="text1"/>
          <w:lang w:val="en-US"/>
        </w:rPr>
        <w:lastRenderedPageBreak/>
        <w:t xml:space="preserve">the first day of the month of diagnosis, </w:t>
      </w:r>
      <w:r w:rsidR="00E41B3F" w:rsidRPr="00156087">
        <w:rPr>
          <w:rFonts w:cstheme="minorHAnsi"/>
          <w:color w:val="000000" w:themeColor="text1"/>
          <w:lang w:val="en-US"/>
        </w:rPr>
        <w:t>10</w:t>
      </w:r>
      <w:r w:rsidR="009D017E" w:rsidRPr="00156087">
        <w:rPr>
          <w:rFonts w:cstheme="minorHAnsi"/>
          <w:color w:val="000000" w:themeColor="text1"/>
          <w:lang w:val="en-US"/>
        </w:rPr>
        <w:t xml:space="preserve"> years </w:t>
      </w:r>
      <w:r w:rsidRPr="00156087">
        <w:rPr>
          <w:rFonts w:cstheme="minorHAnsi"/>
          <w:color w:val="000000" w:themeColor="text1"/>
          <w:lang w:val="en-US"/>
        </w:rPr>
        <w:t>after diagnosis.</w:t>
      </w:r>
      <w:r w:rsidR="00B42907" w:rsidRPr="00156087">
        <w:rPr>
          <w:rFonts w:cstheme="minorHAnsi"/>
          <w:color w:val="000000" w:themeColor="text1"/>
          <w:lang w:val="en-US"/>
        </w:rPr>
        <w:t xml:space="preserve"> </w:t>
      </w:r>
      <w:r w:rsidR="00C113F0" w:rsidRPr="00156087">
        <w:rPr>
          <w:rFonts w:cstheme="minorHAnsi"/>
          <w:color w:val="000000" w:themeColor="text1"/>
          <w:lang w:val="en-US"/>
        </w:rPr>
        <w:t>For each patient data</w:t>
      </w:r>
      <w:r w:rsidR="00CB2501" w:rsidRPr="00156087">
        <w:rPr>
          <w:rFonts w:cstheme="minorHAnsi"/>
          <w:color w:val="000000" w:themeColor="text1"/>
          <w:lang w:val="en-US"/>
        </w:rPr>
        <w:t xml:space="preserve"> on dispensed drugs</w:t>
      </w:r>
      <w:r w:rsidR="00C113F0" w:rsidRPr="00156087">
        <w:rPr>
          <w:rFonts w:cstheme="minorHAnsi"/>
          <w:color w:val="000000" w:themeColor="text1"/>
          <w:lang w:val="en-US"/>
        </w:rPr>
        <w:t xml:space="preserve"> from one 365-day period were used. This was the 10</w:t>
      </w:r>
      <w:r w:rsidR="00C113F0" w:rsidRPr="00156087">
        <w:rPr>
          <w:rFonts w:cstheme="minorHAnsi"/>
          <w:color w:val="000000" w:themeColor="text1"/>
          <w:vertAlign w:val="superscript"/>
          <w:lang w:val="en-US"/>
        </w:rPr>
        <w:t>th</w:t>
      </w:r>
      <w:r w:rsidR="00C113F0" w:rsidRPr="00156087">
        <w:rPr>
          <w:rFonts w:cstheme="minorHAnsi"/>
          <w:color w:val="000000" w:themeColor="text1"/>
          <w:lang w:val="en-US"/>
        </w:rPr>
        <w:t>, 20</w:t>
      </w:r>
      <w:r w:rsidR="00C113F0" w:rsidRPr="00156087">
        <w:rPr>
          <w:rFonts w:cstheme="minorHAnsi"/>
          <w:color w:val="000000" w:themeColor="text1"/>
          <w:vertAlign w:val="superscript"/>
          <w:lang w:val="en-US"/>
        </w:rPr>
        <w:t>th</w:t>
      </w:r>
      <w:r w:rsidR="00C113F0" w:rsidRPr="00156087">
        <w:rPr>
          <w:rFonts w:cstheme="minorHAnsi"/>
          <w:color w:val="000000" w:themeColor="text1"/>
          <w:lang w:val="en-US"/>
        </w:rPr>
        <w:t xml:space="preserve"> </w:t>
      </w:r>
      <w:r w:rsidR="00B93171" w:rsidRPr="00156087">
        <w:rPr>
          <w:rFonts w:cstheme="minorHAnsi"/>
          <w:color w:val="000000" w:themeColor="text1"/>
          <w:lang w:val="en-US"/>
        </w:rPr>
        <w:t xml:space="preserve">and </w:t>
      </w:r>
      <w:r w:rsidR="00C113F0" w:rsidRPr="00156087">
        <w:rPr>
          <w:rFonts w:cstheme="minorHAnsi"/>
          <w:color w:val="000000" w:themeColor="text1"/>
          <w:lang w:val="en-US"/>
        </w:rPr>
        <w:t>30</w:t>
      </w:r>
      <w:r w:rsidR="00C113F0" w:rsidRPr="00156087">
        <w:rPr>
          <w:rFonts w:cstheme="minorHAnsi"/>
          <w:color w:val="000000" w:themeColor="text1"/>
          <w:vertAlign w:val="superscript"/>
          <w:lang w:val="en-US"/>
        </w:rPr>
        <w:t>th</w:t>
      </w:r>
      <w:r w:rsidR="00C113F0" w:rsidRPr="00156087">
        <w:rPr>
          <w:rFonts w:cstheme="minorHAnsi"/>
          <w:color w:val="000000" w:themeColor="text1"/>
          <w:lang w:val="en-US"/>
        </w:rPr>
        <w:t xml:space="preserve"> 365-day period after diagnosis, respectively</w:t>
      </w:r>
      <w:r w:rsidR="00D40795" w:rsidRPr="00156087">
        <w:rPr>
          <w:rFonts w:cstheme="minorHAnsi"/>
          <w:color w:val="000000" w:themeColor="text1"/>
          <w:lang w:val="en-US"/>
        </w:rPr>
        <w:t xml:space="preserve"> (f</w:t>
      </w:r>
      <w:r w:rsidR="001D5E17" w:rsidRPr="00156087">
        <w:rPr>
          <w:rFonts w:cstheme="minorHAnsi"/>
          <w:color w:val="000000" w:themeColor="text1"/>
          <w:lang w:val="en-US"/>
        </w:rPr>
        <w:t>igure 2)</w:t>
      </w:r>
      <w:r w:rsidR="00C113F0" w:rsidRPr="00156087">
        <w:rPr>
          <w:rFonts w:cstheme="minorHAnsi"/>
          <w:color w:val="000000" w:themeColor="text1"/>
          <w:lang w:val="en-US"/>
        </w:rPr>
        <w:t xml:space="preserve">. </w:t>
      </w:r>
    </w:p>
    <w:p w14:paraId="0295D695" w14:textId="77777777" w:rsidR="006D0425" w:rsidRPr="00156087" w:rsidRDefault="006D0425" w:rsidP="008D6F82">
      <w:pPr>
        <w:autoSpaceDE w:val="0"/>
        <w:autoSpaceDN w:val="0"/>
        <w:adjustRightInd w:val="0"/>
        <w:spacing w:after="0" w:line="360" w:lineRule="auto"/>
        <w:rPr>
          <w:rFonts w:cstheme="minorHAnsi"/>
          <w:color w:val="000000" w:themeColor="text1"/>
          <w:lang w:val="en-US"/>
        </w:rPr>
      </w:pPr>
    </w:p>
    <w:p w14:paraId="4955C2E8" w14:textId="7BA37E91" w:rsidR="00C814A9" w:rsidRPr="00156087" w:rsidRDefault="002D2207" w:rsidP="008D6F82">
      <w:pPr>
        <w:autoSpaceDE w:val="0"/>
        <w:autoSpaceDN w:val="0"/>
        <w:adjustRightInd w:val="0"/>
        <w:spacing w:after="0" w:line="360" w:lineRule="auto"/>
        <w:rPr>
          <w:rFonts w:cstheme="minorHAnsi"/>
          <w:color w:val="000000" w:themeColor="text1"/>
          <w:lang w:val="en-US"/>
        </w:rPr>
      </w:pPr>
      <w:r w:rsidRPr="00156087">
        <w:rPr>
          <w:rFonts w:cstheme="minorHAnsi"/>
          <w:color w:val="000000" w:themeColor="text1"/>
          <w:lang w:val="en-US"/>
        </w:rPr>
        <w:t xml:space="preserve">Persistent opioid use was defined based on data from </w:t>
      </w:r>
      <w:proofErr w:type="spellStart"/>
      <w:r w:rsidRPr="00156087">
        <w:rPr>
          <w:rFonts w:cstheme="minorHAnsi"/>
          <w:color w:val="000000" w:themeColor="text1"/>
          <w:lang w:val="en-US"/>
        </w:rPr>
        <w:t>NorPD</w:t>
      </w:r>
      <w:proofErr w:type="spellEnd"/>
      <w:r w:rsidRPr="00156087">
        <w:rPr>
          <w:rFonts w:cstheme="minorHAnsi"/>
          <w:color w:val="000000" w:themeColor="text1"/>
          <w:lang w:val="en-US"/>
        </w:rPr>
        <w:t xml:space="preserve"> </w:t>
      </w:r>
      <w:r w:rsidR="00FF0AAE" w:rsidRPr="00156087">
        <w:rPr>
          <w:rFonts w:cstheme="minorHAnsi"/>
          <w:color w:val="000000" w:themeColor="text1"/>
          <w:lang w:val="en-US"/>
        </w:rPr>
        <w:t>in accordance with</w:t>
      </w:r>
      <w:r w:rsidRPr="00156087">
        <w:rPr>
          <w:rFonts w:cstheme="minorHAnsi"/>
          <w:color w:val="000000" w:themeColor="text1"/>
          <w:lang w:val="en-US"/>
        </w:rPr>
        <w:t xml:space="preserve"> previously </w:t>
      </w:r>
      <w:r w:rsidR="00FF0AAE" w:rsidRPr="00156087">
        <w:rPr>
          <w:rFonts w:cstheme="minorHAnsi"/>
          <w:color w:val="000000" w:themeColor="text1"/>
          <w:lang w:val="en-US"/>
        </w:rPr>
        <w:t>pu</w:t>
      </w:r>
      <w:r w:rsidRPr="00156087">
        <w:rPr>
          <w:rFonts w:cstheme="minorHAnsi"/>
          <w:color w:val="000000" w:themeColor="text1"/>
          <w:lang w:val="en-US"/>
        </w:rPr>
        <w:t xml:space="preserve">blished criteria </w:t>
      </w:r>
      <w:r w:rsidR="00553C26">
        <w:rPr>
          <w:rFonts w:cstheme="minorHAnsi"/>
          <w:noProof/>
          <w:color w:val="000000" w:themeColor="text1"/>
          <w:lang w:val="en-US"/>
        </w:rPr>
        <w:t>[44]</w:t>
      </w:r>
      <w:r w:rsidRPr="00156087">
        <w:rPr>
          <w:rFonts w:cstheme="minorHAnsi"/>
          <w:color w:val="000000" w:themeColor="text1"/>
          <w:lang w:val="en-US"/>
        </w:rPr>
        <w:t xml:space="preserve">. The criteria are based on dispensed opioid volume and number of prescriptions </w:t>
      </w:r>
      <w:r w:rsidR="00257232" w:rsidRPr="00156087">
        <w:rPr>
          <w:rFonts w:cstheme="minorHAnsi"/>
          <w:color w:val="000000" w:themeColor="text1"/>
          <w:lang w:val="en-US"/>
        </w:rPr>
        <w:t>in a 365 days period</w:t>
      </w:r>
      <w:r w:rsidRPr="00156087">
        <w:rPr>
          <w:rFonts w:cstheme="minorHAnsi"/>
          <w:color w:val="000000" w:themeColor="text1"/>
          <w:lang w:val="en-US"/>
        </w:rPr>
        <w:t xml:space="preserve">. </w:t>
      </w:r>
      <w:r w:rsidR="00FF0AAE" w:rsidRPr="00156087">
        <w:rPr>
          <w:rFonts w:cstheme="minorHAnsi"/>
          <w:color w:val="000000" w:themeColor="text1"/>
          <w:lang w:val="en-US"/>
        </w:rPr>
        <w:t xml:space="preserve">In contrast to the original method developed by Svendsen et al, the present study only applied DDD for measurement of drug quantities, not </w:t>
      </w:r>
      <w:r w:rsidR="00647F9B" w:rsidRPr="00156087">
        <w:rPr>
          <w:rFonts w:cstheme="minorHAnsi"/>
          <w:color w:val="000000" w:themeColor="text1"/>
          <w:lang w:val="en-US"/>
        </w:rPr>
        <w:t>the original</w:t>
      </w:r>
      <w:r w:rsidR="00FF0AAE" w:rsidRPr="00156087">
        <w:rPr>
          <w:rFonts w:cstheme="minorHAnsi"/>
          <w:color w:val="000000" w:themeColor="text1"/>
          <w:lang w:val="en-US"/>
        </w:rPr>
        <w:t xml:space="preserve"> combination of DDD and morphine equivalents</w:t>
      </w:r>
      <w:r w:rsidR="00CB2501" w:rsidRPr="00156087">
        <w:rPr>
          <w:rFonts w:cstheme="minorHAnsi"/>
          <w:color w:val="000000" w:themeColor="text1"/>
          <w:lang w:val="en-US"/>
        </w:rPr>
        <w:t xml:space="preserve"> </w:t>
      </w:r>
      <w:r w:rsidR="00553C26">
        <w:rPr>
          <w:rFonts w:cstheme="minorHAnsi"/>
          <w:noProof/>
          <w:color w:val="000000" w:themeColor="text1"/>
          <w:lang w:val="en-US"/>
        </w:rPr>
        <w:t>[44]</w:t>
      </w:r>
      <w:r w:rsidR="00FF0AAE" w:rsidRPr="00156087">
        <w:rPr>
          <w:rFonts w:cstheme="minorHAnsi"/>
          <w:color w:val="000000" w:themeColor="text1"/>
          <w:lang w:val="en-US"/>
        </w:rPr>
        <w:t xml:space="preserve">. </w:t>
      </w:r>
      <w:r w:rsidRPr="00156087">
        <w:rPr>
          <w:rFonts w:cstheme="minorHAnsi"/>
          <w:color w:val="000000" w:themeColor="text1"/>
          <w:lang w:val="en-US"/>
        </w:rPr>
        <w:t xml:space="preserve">The criteria for the applied definition </w:t>
      </w:r>
      <w:r w:rsidR="002049DD" w:rsidRPr="00156087">
        <w:rPr>
          <w:rFonts w:cstheme="minorHAnsi"/>
          <w:color w:val="000000" w:themeColor="text1"/>
          <w:lang w:val="en-US"/>
        </w:rPr>
        <w:t>of persistent opioid use were</w:t>
      </w:r>
      <w:r w:rsidRPr="00156087">
        <w:rPr>
          <w:rFonts w:cstheme="minorHAnsi"/>
          <w:color w:val="000000" w:themeColor="text1"/>
          <w:lang w:val="en-US"/>
        </w:rPr>
        <w:t xml:space="preserve"> to use &gt;365 DDD during 365 days and to receive prescriptions in all quarters of the year. This definition clinically corresponds to us</w:t>
      </w:r>
      <w:r w:rsidR="00642BFE" w:rsidRPr="00156087">
        <w:rPr>
          <w:rFonts w:cstheme="minorHAnsi"/>
          <w:color w:val="000000" w:themeColor="text1"/>
          <w:lang w:val="en-US"/>
        </w:rPr>
        <w:t>e</w:t>
      </w:r>
      <w:r w:rsidRPr="00156087">
        <w:rPr>
          <w:rFonts w:cstheme="minorHAnsi"/>
          <w:color w:val="000000" w:themeColor="text1"/>
          <w:lang w:val="en-US"/>
        </w:rPr>
        <w:t xml:space="preserve"> </w:t>
      </w:r>
      <w:r w:rsidR="001D5E17" w:rsidRPr="00156087">
        <w:rPr>
          <w:rFonts w:cstheme="minorHAnsi"/>
          <w:color w:val="000000" w:themeColor="text1"/>
          <w:lang w:val="en-US"/>
        </w:rPr>
        <w:t xml:space="preserve">of </w:t>
      </w:r>
      <w:r w:rsidRPr="00156087">
        <w:rPr>
          <w:rFonts w:cstheme="minorHAnsi"/>
          <w:color w:val="000000" w:themeColor="text1"/>
          <w:lang w:val="en-US"/>
        </w:rPr>
        <w:t xml:space="preserve">opioids </w:t>
      </w:r>
      <w:r w:rsidR="00257232" w:rsidRPr="00156087">
        <w:rPr>
          <w:rFonts w:cstheme="minorHAnsi"/>
          <w:color w:val="000000" w:themeColor="text1"/>
          <w:lang w:val="en-US"/>
        </w:rPr>
        <w:t xml:space="preserve">on a </w:t>
      </w:r>
      <w:r w:rsidRPr="00156087">
        <w:rPr>
          <w:rFonts w:cstheme="minorHAnsi"/>
          <w:color w:val="000000" w:themeColor="text1"/>
          <w:lang w:val="en-US"/>
        </w:rPr>
        <w:t>daily</w:t>
      </w:r>
      <w:r w:rsidR="00257232" w:rsidRPr="00156087">
        <w:rPr>
          <w:rFonts w:cstheme="minorHAnsi"/>
          <w:color w:val="000000" w:themeColor="text1"/>
          <w:lang w:val="en-US"/>
        </w:rPr>
        <w:t xml:space="preserve"> basis</w:t>
      </w:r>
      <w:r w:rsidR="00C826FC" w:rsidRPr="00156087">
        <w:rPr>
          <w:rFonts w:cstheme="minorHAnsi"/>
          <w:color w:val="000000" w:themeColor="text1"/>
          <w:lang w:val="en-US"/>
        </w:rPr>
        <w:t>,</w:t>
      </w:r>
      <w:r w:rsidRPr="00156087">
        <w:rPr>
          <w:rFonts w:cstheme="minorHAnsi"/>
          <w:color w:val="000000" w:themeColor="text1"/>
          <w:lang w:val="en-US"/>
        </w:rPr>
        <w:t xml:space="preserve"> but not</w:t>
      </w:r>
      <w:r w:rsidR="002049DD" w:rsidRPr="00156087">
        <w:rPr>
          <w:rFonts w:cstheme="minorHAnsi"/>
          <w:color w:val="000000" w:themeColor="text1"/>
          <w:lang w:val="en-US"/>
        </w:rPr>
        <w:t xml:space="preserve"> necessarily</w:t>
      </w:r>
      <w:r w:rsidRPr="00156087">
        <w:rPr>
          <w:rFonts w:cstheme="minorHAnsi"/>
          <w:color w:val="000000" w:themeColor="text1"/>
          <w:lang w:val="en-US"/>
        </w:rPr>
        <w:t xml:space="preserve"> around the clock.</w:t>
      </w:r>
      <w:r w:rsidR="00FF0AAE" w:rsidRPr="00156087">
        <w:rPr>
          <w:rFonts w:cstheme="minorHAnsi"/>
          <w:color w:val="000000" w:themeColor="text1"/>
          <w:lang w:val="en-US"/>
        </w:rPr>
        <w:t xml:space="preserve"> </w:t>
      </w:r>
      <w:r w:rsidR="008F272D" w:rsidRPr="00156087">
        <w:rPr>
          <w:rFonts w:cstheme="minorHAnsi"/>
          <w:color w:val="000000" w:themeColor="text1"/>
          <w:lang w:val="en-US"/>
        </w:rPr>
        <w:t xml:space="preserve">High-dose-use of opioids was defined as using more than 730 DDD of opioids during the tenth year after diagnosis and prescriptions all quarters of the year. </w:t>
      </w:r>
      <w:r w:rsidR="00C814A9" w:rsidRPr="00156087">
        <w:rPr>
          <w:rFonts w:cstheme="minorHAnsi"/>
          <w:color w:val="000000" w:themeColor="text1"/>
          <w:lang w:val="en-US"/>
        </w:rPr>
        <w:t xml:space="preserve">High dose use of benzodiazepines and benzodiazepine-related hypnotics (separately) was defined as receiving more than 100 DDDs in one year. </w:t>
      </w:r>
      <w:r w:rsidR="00A801F1" w:rsidRPr="00156087">
        <w:rPr>
          <w:rFonts w:cstheme="minorHAnsi"/>
          <w:color w:val="000000" w:themeColor="text1"/>
          <w:lang w:val="en-US"/>
        </w:rPr>
        <w:t>Co-medicati</w:t>
      </w:r>
      <w:r w:rsidR="008D0700" w:rsidRPr="00156087">
        <w:rPr>
          <w:rFonts w:cstheme="minorHAnsi"/>
          <w:color w:val="000000" w:themeColor="text1"/>
          <w:lang w:val="en-US"/>
        </w:rPr>
        <w:t>o</w:t>
      </w:r>
      <w:r w:rsidR="00A801F1" w:rsidRPr="00156087">
        <w:rPr>
          <w:rFonts w:cstheme="minorHAnsi"/>
          <w:color w:val="000000" w:themeColor="text1"/>
          <w:lang w:val="en-US"/>
        </w:rPr>
        <w:t>n wa</w:t>
      </w:r>
      <w:r w:rsidR="00257232" w:rsidRPr="00156087">
        <w:rPr>
          <w:rFonts w:cstheme="minorHAnsi"/>
          <w:color w:val="000000" w:themeColor="text1"/>
          <w:lang w:val="en-US"/>
        </w:rPr>
        <w:t>s investigated by constructing V</w:t>
      </w:r>
      <w:r w:rsidR="00A801F1" w:rsidRPr="00156087">
        <w:rPr>
          <w:rFonts w:cstheme="minorHAnsi"/>
          <w:color w:val="000000" w:themeColor="text1"/>
          <w:lang w:val="en-US"/>
        </w:rPr>
        <w:t>enn-diagrams.</w:t>
      </w:r>
      <w:r w:rsidR="009040D3" w:rsidRPr="00156087">
        <w:rPr>
          <w:rFonts w:cstheme="minorHAnsi"/>
          <w:color w:val="000000" w:themeColor="text1"/>
          <w:lang w:val="en-US"/>
        </w:rPr>
        <w:t xml:space="preserve"> </w:t>
      </w:r>
    </w:p>
    <w:p w14:paraId="0BEB06F5" w14:textId="77777777" w:rsidR="00A801F1" w:rsidRPr="00156087" w:rsidRDefault="00A801F1" w:rsidP="008D6F82">
      <w:pPr>
        <w:autoSpaceDE w:val="0"/>
        <w:autoSpaceDN w:val="0"/>
        <w:adjustRightInd w:val="0"/>
        <w:spacing w:after="0" w:line="360" w:lineRule="auto"/>
        <w:rPr>
          <w:rFonts w:cstheme="minorHAnsi"/>
          <w:color w:val="000000" w:themeColor="text1"/>
          <w:lang w:val="en-US"/>
        </w:rPr>
      </w:pPr>
    </w:p>
    <w:p w14:paraId="3B153825" w14:textId="5A111D50" w:rsidR="00647D81" w:rsidRPr="00156087" w:rsidRDefault="00647D81" w:rsidP="008D6F82">
      <w:pPr>
        <w:autoSpaceDE w:val="0"/>
        <w:autoSpaceDN w:val="0"/>
        <w:adjustRightInd w:val="0"/>
        <w:spacing w:after="0" w:line="360" w:lineRule="auto"/>
        <w:rPr>
          <w:rFonts w:cstheme="minorHAnsi"/>
          <w:color w:val="000000" w:themeColor="text1"/>
          <w:lang w:val="en-US"/>
        </w:rPr>
      </w:pPr>
      <w:r w:rsidRPr="00156087">
        <w:rPr>
          <w:rFonts w:cstheme="minorHAnsi"/>
          <w:color w:val="000000" w:themeColor="text1"/>
          <w:lang w:val="en-US"/>
        </w:rPr>
        <w:t xml:space="preserve">To compare with the general population, the prevalence ratios were age and gender adjusted using the function </w:t>
      </w:r>
      <w:proofErr w:type="spellStart"/>
      <w:proofErr w:type="gramStart"/>
      <w:r w:rsidRPr="00156087">
        <w:rPr>
          <w:rFonts w:cstheme="minorHAnsi"/>
          <w:i/>
          <w:color w:val="000000" w:themeColor="text1"/>
          <w:lang w:val="en-US"/>
        </w:rPr>
        <w:t>ageadjust.indirect</w:t>
      </w:r>
      <w:proofErr w:type="spellEnd"/>
      <w:proofErr w:type="gramEnd"/>
      <w:r w:rsidRPr="00156087">
        <w:rPr>
          <w:rFonts w:cstheme="minorHAnsi"/>
          <w:color w:val="000000" w:themeColor="text1"/>
          <w:lang w:val="en-US"/>
        </w:rPr>
        <w:t xml:space="preserve"> in the R-package </w:t>
      </w:r>
      <w:proofErr w:type="spellStart"/>
      <w:r w:rsidRPr="00156087">
        <w:rPr>
          <w:rFonts w:cstheme="minorHAnsi"/>
          <w:i/>
          <w:color w:val="000000" w:themeColor="text1"/>
          <w:lang w:val="en-US"/>
        </w:rPr>
        <w:t>epitools</w:t>
      </w:r>
      <w:proofErr w:type="spellEnd"/>
      <w:r w:rsidRPr="00156087">
        <w:rPr>
          <w:rFonts w:cstheme="minorHAnsi"/>
          <w:i/>
          <w:color w:val="000000" w:themeColor="text1"/>
          <w:lang w:val="en-US"/>
        </w:rPr>
        <w:t xml:space="preserve"> </w:t>
      </w:r>
      <w:r w:rsidRPr="00156087">
        <w:rPr>
          <w:rFonts w:cstheme="minorHAnsi"/>
          <w:color w:val="000000" w:themeColor="text1"/>
          <w:lang w:val="en-US"/>
        </w:rPr>
        <w:t>with the total Norwegian population i</w:t>
      </w:r>
      <w:r w:rsidR="00260A1B" w:rsidRPr="00156087">
        <w:rPr>
          <w:rFonts w:cstheme="minorHAnsi"/>
          <w:color w:val="000000" w:themeColor="text1"/>
          <w:lang w:val="en-US"/>
        </w:rPr>
        <w:t>n the relevant age group</w:t>
      </w:r>
      <w:r w:rsidRPr="00156087">
        <w:rPr>
          <w:rFonts w:cstheme="minorHAnsi"/>
          <w:color w:val="000000" w:themeColor="text1"/>
          <w:lang w:val="en-US"/>
        </w:rPr>
        <w:t xml:space="preserve"> as reference population. The relevant age </w:t>
      </w:r>
      <w:r w:rsidR="00260A1B" w:rsidRPr="00156087">
        <w:rPr>
          <w:rFonts w:cstheme="minorHAnsi"/>
          <w:color w:val="000000" w:themeColor="text1"/>
          <w:lang w:val="en-US"/>
        </w:rPr>
        <w:t>group</w:t>
      </w:r>
      <w:r w:rsidRPr="00156087">
        <w:rPr>
          <w:rFonts w:cstheme="minorHAnsi"/>
          <w:color w:val="000000" w:themeColor="text1"/>
          <w:lang w:val="en-US"/>
        </w:rPr>
        <w:t xml:space="preserve"> was 20-59 years when considering the complete study</w:t>
      </w:r>
      <w:r w:rsidR="008D0700" w:rsidRPr="00156087">
        <w:rPr>
          <w:rFonts w:cstheme="minorHAnsi"/>
          <w:color w:val="000000" w:themeColor="text1"/>
          <w:lang w:val="en-US"/>
        </w:rPr>
        <w:t>-</w:t>
      </w:r>
      <w:r w:rsidRPr="00156087">
        <w:rPr>
          <w:rFonts w:cstheme="minorHAnsi"/>
          <w:color w:val="000000" w:themeColor="text1"/>
          <w:lang w:val="en-US"/>
        </w:rPr>
        <w:t xml:space="preserve">population, and </w:t>
      </w:r>
      <w:r w:rsidR="00260A1B" w:rsidRPr="00156087">
        <w:rPr>
          <w:rFonts w:cstheme="minorHAnsi"/>
          <w:color w:val="000000" w:themeColor="text1"/>
          <w:lang w:val="en-US"/>
        </w:rPr>
        <w:t>20-29</w:t>
      </w:r>
      <w:r w:rsidRPr="00156087">
        <w:rPr>
          <w:rFonts w:cstheme="minorHAnsi"/>
          <w:color w:val="000000" w:themeColor="text1"/>
          <w:lang w:val="en-US"/>
        </w:rPr>
        <w:t xml:space="preserve"> when considering the subgroup</w:t>
      </w:r>
      <w:r w:rsidR="00D9671F" w:rsidRPr="00156087">
        <w:rPr>
          <w:rFonts w:cstheme="minorHAnsi"/>
          <w:color w:val="000000" w:themeColor="text1"/>
          <w:lang w:val="en-US"/>
        </w:rPr>
        <w:t>,</w:t>
      </w:r>
      <w:r w:rsidRPr="00156087">
        <w:rPr>
          <w:rFonts w:cstheme="minorHAnsi"/>
          <w:color w:val="000000" w:themeColor="text1"/>
          <w:lang w:val="en-US"/>
        </w:rPr>
        <w:t xml:space="preserve"> </w:t>
      </w:r>
      <w:r w:rsidR="00C26737" w:rsidRPr="00156087">
        <w:rPr>
          <w:rFonts w:cstheme="minorHAnsi"/>
          <w:color w:val="000000" w:themeColor="text1"/>
          <w:lang w:val="en-US"/>
        </w:rPr>
        <w:t>who</w:t>
      </w:r>
      <w:r w:rsidRPr="00156087">
        <w:rPr>
          <w:rFonts w:cstheme="minorHAnsi"/>
          <w:color w:val="000000" w:themeColor="text1"/>
          <w:lang w:val="en-US"/>
        </w:rPr>
        <w:t xml:space="preserve"> were </w:t>
      </w:r>
      <w:r w:rsidR="00260A1B" w:rsidRPr="00156087">
        <w:rPr>
          <w:rFonts w:cstheme="minorHAnsi"/>
          <w:color w:val="000000" w:themeColor="text1"/>
          <w:lang w:val="en-US"/>
        </w:rPr>
        <w:t xml:space="preserve">20-29 ten years after diagnosis, </w:t>
      </w:r>
      <w:r w:rsidR="00D9177C" w:rsidRPr="00156087">
        <w:rPr>
          <w:rFonts w:cstheme="minorHAnsi"/>
          <w:color w:val="000000" w:themeColor="text1"/>
          <w:lang w:val="en-US"/>
        </w:rPr>
        <w:t xml:space="preserve">and so </w:t>
      </w:r>
      <w:r w:rsidR="008456F2" w:rsidRPr="00156087">
        <w:rPr>
          <w:rFonts w:cstheme="minorHAnsi"/>
          <w:color w:val="000000" w:themeColor="text1"/>
          <w:lang w:val="en-US"/>
        </w:rPr>
        <w:t>forth</w:t>
      </w:r>
      <w:r w:rsidR="00260A1B" w:rsidRPr="00156087">
        <w:rPr>
          <w:rFonts w:cstheme="minorHAnsi"/>
          <w:color w:val="000000" w:themeColor="text1"/>
          <w:lang w:val="en-US"/>
        </w:rPr>
        <w:t xml:space="preserve">. </w:t>
      </w:r>
      <w:r w:rsidRPr="00156087">
        <w:rPr>
          <w:rFonts w:cstheme="minorHAnsi"/>
          <w:color w:val="000000" w:themeColor="text1"/>
          <w:lang w:val="en-US"/>
        </w:rPr>
        <w:t>Those who died before 2015 were subtracted from the reference population to make it more comparable to the study population.</w:t>
      </w:r>
      <w:r w:rsidR="00260A1B" w:rsidRPr="00156087">
        <w:rPr>
          <w:rFonts w:cstheme="minorHAnsi"/>
          <w:color w:val="000000" w:themeColor="text1"/>
          <w:lang w:val="en-US"/>
        </w:rPr>
        <w:t xml:space="preserve"> </w:t>
      </w:r>
      <w:r w:rsidR="00761FFC" w:rsidRPr="00156087">
        <w:rPr>
          <w:rFonts w:cstheme="minorHAnsi"/>
          <w:color w:val="000000" w:themeColor="text1"/>
          <w:lang w:val="en-US"/>
        </w:rPr>
        <w:t>Details on the method</w:t>
      </w:r>
      <w:r w:rsidR="00D85FD8" w:rsidRPr="00156087">
        <w:rPr>
          <w:rFonts w:cstheme="minorHAnsi"/>
          <w:color w:val="000000" w:themeColor="text1"/>
          <w:lang w:val="en-US"/>
        </w:rPr>
        <w:t>s</w:t>
      </w:r>
      <w:r w:rsidR="00761FFC" w:rsidRPr="00156087">
        <w:rPr>
          <w:rFonts w:cstheme="minorHAnsi"/>
          <w:color w:val="000000" w:themeColor="text1"/>
          <w:lang w:val="en-US"/>
        </w:rPr>
        <w:t xml:space="preserve"> have been published in a previous paper </w:t>
      </w:r>
      <w:r w:rsidR="008456F2" w:rsidRPr="00156087">
        <w:rPr>
          <w:rFonts w:cstheme="minorHAnsi"/>
          <w:color w:val="000000" w:themeColor="text1"/>
          <w:lang w:val="en-US"/>
        </w:rPr>
        <w:t>by</w:t>
      </w:r>
      <w:r w:rsidR="00761FFC" w:rsidRPr="00156087">
        <w:rPr>
          <w:rFonts w:cstheme="minorHAnsi"/>
          <w:color w:val="000000" w:themeColor="text1"/>
          <w:lang w:val="en-US"/>
        </w:rPr>
        <w:t xml:space="preserve"> our group</w:t>
      </w:r>
      <w:r w:rsidR="00B852FB" w:rsidRPr="00156087">
        <w:rPr>
          <w:rFonts w:cstheme="minorHAnsi"/>
          <w:color w:val="000000" w:themeColor="text1"/>
          <w:lang w:val="en-US"/>
        </w:rPr>
        <w:t xml:space="preserve"> </w:t>
      </w:r>
      <w:r w:rsidR="00553C26">
        <w:rPr>
          <w:rFonts w:cstheme="minorHAnsi"/>
          <w:noProof/>
          <w:color w:val="000000" w:themeColor="text1"/>
          <w:lang w:val="en-US"/>
        </w:rPr>
        <w:t>[15]</w:t>
      </w:r>
      <w:r w:rsidR="00F12EC3" w:rsidRPr="00156087">
        <w:rPr>
          <w:rFonts w:cstheme="minorHAnsi"/>
          <w:color w:val="000000" w:themeColor="text1"/>
          <w:lang w:val="en-US"/>
        </w:rPr>
        <w:t>.</w:t>
      </w:r>
      <w:r w:rsidR="00260A1B" w:rsidRPr="00156087">
        <w:rPr>
          <w:rFonts w:cstheme="minorHAnsi"/>
          <w:color w:val="000000" w:themeColor="text1"/>
          <w:lang w:val="en-US"/>
        </w:rPr>
        <w:t xml:space="preserve"> </w:t>
      </w:r>
      <w:r w:rsidR="009040D3" w:rsidRPr="00156087">
        <w:rPr>
          <w:rFonts w:cstheme="minorHAnsi"/>
          <w:color w:val="000000" w:themeColor="text1"/>
          <w:lang w:val="en-US"/>
        </w:rPr>
        <w:t xml:space="preserve"> For the general population data from 2010 were used for prevalence calculations. </w:t>
      </w:r>
    </w:p>
    <w:p w14:paraId="4B6FD436" w14:textId="77777777" w:rsidR="00AA454B" w:rsidRPr="00156087" w:rsidRDefault="00AA454B" w:rsidP="008D6F82">
      <w:pPr>
        <w:pStyle w:val="BodyText"/>
        <w:spacing w:after="0" w:line="360" w:lineRule="auto"/>
        <w:rPr>
          <w:rFonts w:cstheme="minorHAnsi"/>
          <w:color w:val="000000" w:themeColor="text1"/>
          <w:lang w:val="en-US"/>
        </w:rPr>
      </w:pPr>
    </w:p>
    <w:p w14:paraId="5A8EB264" w14:textId="767F49AA" w:rsidR="00BF3BEF" w:rsidRPr="00156087" w:rsidRDefault="000B734D" w:rsidP="008D6F82">
      <w:pPr>
        <w:pStyle w:val="BodyText"/>
        <w:spacing w:after="0" w:line="360" w:lineRule="auto"/>
        <w:rPr>
          <w:rFonts w:cstheme="minorHAnsi"/>
          <w:color w:val="000000" w:themeColor="text1"/>
          <w:u w:val="single"/>
          <w:lang w:val="en-US"/>
        </w:rPr>
      </w:pPr>
      <w:r w:rsidRPr="00156087">
        <w:rPr>
          <w:rFonts w:cstheme="minorHAnsi"/>
          <w:color w:val="000000" w:themeColor="text1"/>
          <w:u w:val="single"/>
          <w:lang w:val="en-US"/>
        </w:rPr>
        <w:t xml:space="preserve">2.6 </w:t>
      </w:r>
      <w:r w:rsidR="00571973" w:rsidRPr="00156087">
        <w:rPr>
          <w:rFonts w:cstheme="minorHAnsi"/>
          <w:color w:val="000000" w:themeColor="text1"/>
          <w:u w:val="single"/>
          <w:lang w:val="en-US"/>
        </w:rPr>
        <w:t>Research et</w:t>
      </w:r>
      <w:r w:rsidR="00BF3BEF" w:rsidRPr="00156087">
        <w:rPr>
          <w:rFonts w:cstheme="minorHAnsi"/>
          <w:color w:val="000000" w:themeColor="text1"/>
          <w:u w:val="single"/>
          <w:lang w:val="en-US"/>
        </w:rPr>
        <w:t xml:space="preserve">hics and approvals </w:t>
      </w:r>
    </w:p>
    <w:p w14:paraId="2F5E7F45" w14:textId="7CEAC8E9" w:rsidR="00485889" w:rsidRPr="00156087" w:rsidRDefault="00C00204" w:rsidP="008D6F82">
      <w:pPr>
        <w:spacing w:after="0" w:line="360" w:lineRule="auto"/>
        <w:rPr>
          <w:rFonts w:cstheme="minorHAnsi"/>
          <w:color w:val="000000" w:themeColor="text1"/>
          <w:lang w:val="en-US"/>
        </w:rPr>
      </w:pPr>
      <w:r w:rsidRPr="00156087">
        <w:rPr>
          <w:rFonts w:cstheme="minorHAnsi"/>
          <w:color w:val="000000" w:themeColor="text1"/>
          <w:lang w:val="en-US"/>
        </w:rPr>
        <w:t>The linkage of the data</w:t>
      </w:r>
      <w:r w:rsidR="00F23B6B" w:rsidRPr="00156087">
        <w:rPr>
          <w:rFonts w:cstheme="minorHAnsi"/>
          <w:color w:val="000000" w:themeColor="text1"/>
          <w:lang w:val="en-US"/>
        </w:rPr>
        <w:t xml:space="preserve"> </w:t>
      </w:r>
      <w:r w:rsidRPr="00156087">
        <w:rPr>
          <w:rFonts w:cstheme="minorHAnsi"/>
          <w:color w:val="000000" w:themeColor="text1"/>
          <w:lang w:val="en-US"/>
        </w:rPr>
        <w:t xml:space="preserve">sources was approved by the Norwegian Data Inspectorate </w:t>
      </w:r>
      <w:r w:rsidR="003D3695" w:rsidRPr="00156087">
        <w:rPr>
          <w:rFonts w:cstheme="minorHAnsi"/>
          <w:color w:val="000000" w:themeColor="text1"/>
          <w:lang w:val="en-US"/>
        </w:rPr>
        <w:t>(10/00447-5</w:t>
      </w:r>
      <w:r w:rsidR="00C543E6" w:rsidRPr="00156087">
        <w:rPr>
          <w:rFonts w:cstheme="minorHAnsi"/>
          <w:color w:val="000000" w:themeColor="text1"/>
          <w:lang w:val="en-US"/>
        </w:rPr>
        <w:t xml:space="preserve"> and 13/00577-4</w:t>
      </w:r>
      <w:r w:rsidR="003D3695" w:rsidRPr="00156087">
        <w:rPr>
          <w:rFonts w:cstheme="minorHAnsi"/>
          <w:color w:val="000000" w:themeColor="text1"/>
          <w:lang w:val="en-US"/>
        </w:rPr>
        <w:t xml:space="preserve">) </w:t>
      </w:r>
      <w:r w:rsidRPr="00156087">
        <w:rPr>
          <w:rFonts w:cstheme="minorHAnsi"/>
          <w:color w:val="000000" w:themeColor="text1"/>
          <w:lang w:val="en-US"/>
        </w:rPr>
        <w:t>and by the Regional Committee for Medical Research Ethics</w:t>
      </w:r>
      <w:r w:rsidR="00F8470A" w:rsidRPr="00156087">
        <w:rPr>
          <w:rFonts w:cstheme="minorHAnsi"/>
          <w:color w:val="000000" w:themeColor="text1"/>
          <w:lang w:val="en-US"/>
        </w:rPr>
        <w:t xml:space="preserve"> </w:t>
      </w:r>
      <w:r w:rsidR="003D3695" w:rsidRPr="00156087">
        <w:rPr>
          <w:rFonts w:cstheme="minorHAnsi"/>
          <w:color w:val="000000" w:themeColor="text1"/>
          <w:lang w:val="en-US"/>
        </w:rPr>
        <w:t>(2010/131</w:t>
      </w:r>
      <w:r w:rsidR="00485889" w:rsidRPr="00156087">
        <w:rPr>
          <w:rFonts w:cstheme="minorHAnsi"/>
          <w:color w:val="000000" w:themeColor="text1"/>
          <w:lang w:val="en-US"/>
        </w:rPr>
        <w:t>).</w:t>
      </w:r>
    </w:p>
    <w:p w14:paraId="574544D8" w14:textId="77BD9204" w:rsidR="00605B81" w:rsidRPr="00156087" w:rsidRDefault="00605B81" w:rsidP="008D6F82">
      <w:pPr>
        <w:spacing w:after="0" w:line="360" w:lineRule="auto"/>
        <w:rPr>
          <w:rFonts w:cstheme="minorHAnsi"/>
          <w:color w:val="000000" w:themeColor="text1"/>
          <w:lang w:val="en-US"/>
        </w:rPr>
      </w:pPr>
      <w:r w:rsidRPr="00156087">
        <w:rPr>
          <w:rFonts w:cstheme="minorHAnsi"/>
          <w:color w:val="000000" w:themeColor="text1"/>
          <w:lang w:val="en-US"/>
        </w:rPr>
        <w:t xml:space="preserve">The study has used data from the Cancer Registry of Norway. The interpretation and reporting of these data are the sole responsibility of the authors, and endorsement by the Cancer Registry of Norway </w:t>
      </w:r>
      <w:r w:rsidR="00257232" w:rsidRPr="00156087">
        <w:rPr>
          <w:rFonts w:cstheme="minorHAnsi"/>
          <w:color w:val="000000" w:themeColor="text1"/>
          <w:lang w:val="en-US"/>
        </w:rPr>
        <w:t xml:space="preserve">neither </w:t>
      </w:r>
      <w:r w:rsidRPr="00156087">
        <w:rPr>
          <w:rFonts w:cstheme="minorHAnsi"/>
          <w:color w:val="000000" w:themeColor="text1"/>
          <w:lang w:val="en-US"/>
        </w:rPr>
        <w:t>is intended nor should be inferred.</w:t>
      </w:r>
      <w:r w:rsidR="00257232" w:rsidRPr="00156087">
        <w:rPr>
          <w:rFonts w:cstheme="minorHAnsi"/>
          <w:color w:val="000000" w:themeColor="text1"/>
          <w:lang w:val="en-US"/>
        </w:rPr>
        <w:t xml:space="preserve"> </w:t>
      </w:r>
    </w:p>
    <w:p w14:paraId="176EF6F3" w14:textId="77777777" w:rsidR="00485889" w:rsidRPr="00156087" w:rsidRDefault="00485889" w:rsidP="008D6F82">
      <w:pPr>
        <w:spacing w:after="0" w:line="360" w:lineRule="auto"/>
        <w:rPr>
          <w:rFonts w:cstheme="minorHAnsi"/>
          <w:color w:val="000000" w:themeColor="text1"/>
          <w:lang w:val="en-US"/>
        </w:rPr>
      </w:pPr>
      <w:r w:rsidRPr="00156087">
        <w:rPr>
          <w:rFonts w:cstheme="minorHAnsi"/>
          <w:color w:val="000000" w:themeColor="text1"/>
          <w:lang w:val="en-US"/>
        </w:rPr>
        <w:br w:type="page"/>
      </w:r>
    </w:p>
    <w:p w14:paraId="17049202" w14:textId="77777777" w:rsidR="00EC2740" w:rsidRPr="00156087" w:rsidRDefault="000B734D" w:rsidP="008D6F82">
      <w:pPr>
        <w:spacing w:after="0" w:line="360" w:lineRule="auto"/>
        <w:rPr>
          <w:rFonts w:cstheme="minorHAnsi"/>
          <w:b/>
          <w:color w:val="000000" w:themeColor="text1"/>
          <w:lang w:val="en-US"/>
        </w:rPr>
      </w:pPr>
      <w:r w:rsidRPr="00156087">
        <w:rPr>
          <w:rFonts w:cstheme="minorHAnsi"/>
          <w:b/>
          <w:color w:val="000000" w:themeColor="text1"/>
          <w:lang w:val="en-US"/>
        </w:rPr>
        <w:lastRenderedPageBreak/>
        <w:t xml:space="preserve">3. </w:t>
      </w:r>
      <w:r w:rsidR="00EC2740" w:rsidRPr="00156087">
        <w:rPr>
          <w:rFonts w:cstheme="minorHAnsi"/>
          <w:b/>
          <w:color w:val="000000" w:themeColor="text1"/>
          <w:lang w:val="en-US"/>
        </w:rPr>
        <w:t xml:space="preserve">Results </w:t>
      </w:r>
    </w:p>
    <w:p w14:paraId="25622661" w14:textId="310541DD" w:rsidR="00EC2740" w:rsidRPr="00156087" w:rsidRDefault="000B734D" w:rsidP="008D6F82">
      <w:pPr>
        <w:spacing w:after="0" w:line="360" w:lineRule="auto"/>
        <w:rPr>
          <w:rFonts w:cstheme="minorHAnsi"/>
          <w:i/>
          <w:color w:val="000000" w:themeColor="text1"/>
          <w:lang w:val="en-US"/>
        </w:rPr>
      </w:pPr>
      <w:r w:rsidRPr="00156087">
        <w:rPr>
          <w:rFonts w:cstheme="minorHAnsi"/>
          <w:i/>
          <w:color w:val="000000" w:themeColor="text1"/>
          <w:lang w:val="en-US"/>
        </w:rPr>
        <w:t xml:space="preserve">3.1 </w:t>
      </w:r>
      <w:r w:rsidR="00F246F6" w:rsidRPr="00156087">
        <w:rPr>
          <w:rFonts w:cstheme="minorHAnsi"/>
          <w:i/>
          <w:color w:val="000000" w:themeColor="text1"/>
          <w:lang w:val="en-US"/>
        </w:rPr>
        <w:t>Study population</w:t>
      </w:r>
    </w:p>
    <w:p w14:paraId="41670DF0" w14:textId="25536199" w:rsidR="00862CE1" w:rsidRPr="00156087" w:rsidRDefault="007263C4" w:rsidP="008D6F82">
      <w:pPr>
        <w:spacing w:after="0" w:line="360" w:lineRule="auto"/>
        <w:rPr>
          <w:rFonts w:cstheme="minorHAnsi"/>
          <w:color w:val="000000" w:themeColor="text1"/>
          <w:lang w:val="en-US"/>
        </w:rPr>
      </w:pPr>
      <w:r w:rsidRPr="00156087">
        <w:rPr>
          <w:rFonts w:cstheme="minorHAnsi"/>
          <w:color w:val="000000" w:themeColor="text1"/>
          <w:lang w:val="en-US"/>
        </w:rPr>
        <w:t>The study population consist</w:t>
      </w:r>
      <w:r w:rsidR="00C826FC" w:rsidRPr="00156087">
        <w:rPr>
          <w:rFonts w:cstheme="minorHAnsi"/>
          <w:color w:val="000000" w:themeColor="text1"/>
          <w:lang w:val="en-US"/>
        </w:rPr>
        <w:t>ed</w:t>
      </w:r>
      <w:r w:rsidRPr="00156087">
        <w:rPr>
          <w:rFonts w:cstheme="minorHAnsi"/>
          <w:color w:val="000000" w:themeColor="text1"/>
          <w:lang w:val="en-US"/>
        </w:rPr>
        <w:t xml:space="preserve"> of </w:t>
      </w:r>
      <w:r w:rsidR="001336E6" w:rsidRPr="00156087">
        <w:rPr>
          <w:rFonts w:cstheme="minorHAnsi"/>
          <w:color w:val="000000" w:themeColor="text1"/>
          <w:lang w:val="en-US"/>
        </w:rPr>
        <w:t xml:space="preserve">5585 </w:t>
      </w:r>
      <w:r w:rsidRPr="00156087">
        <w:rPr>
          <w:rFonts w:cstheme="minorHAnsi"/>
          <w:color w:val="000000" w:themeColor="text1"/>
          <w:lang w:val="en-US"/>
        </w:rPr>
        <w:t>persons</w:t>
      </w:r>
      <w:r w:rsidR="00886423" w:rsidRPr="00156087">
        <w:rPr>
          <w:rFonts w:cstheme="minorHAnsi"/>
          <w:color w:val="000000" w:themeColor="text1"/>
          <w:lang w:val="en-US"/>
        </w:rPr>
        <w:t xml:space="preserve">, </w:t>
      </w:r>
      <w:r w:rsidR="00341C22" w:rsidRPr="00156087">
        <w:rPr>
          <w:rFonts w:cstheme="minorHAnsi"/>
          <w:color w:val="000000" w:themeColor="text1"/>
          <w:lang w:val="en-US"/>
        </w:rPr>
        <w:t xml:space="preserve">2893 </w:t>
      </w:r>
      <w:r w:rsidR="00886423" w:rsidRPr="00156087">
        <w:rPr>
          <w:rFonts w:cstheme="minorHAnsi"/>
          <w:color w:val="000000" w:themeColor="text1"/>
          <w:lang w:val="en-US"/>
        </w:rPr>
        <w:t xml:space="preserve">(52%) males </w:t>
      </w:r>
      <w:r w:rsidR="00CB6B91" w:rsidRPr="00156087">
        <w:rPr>
          <w:rFonts w:cstheme="minorHAnsi"/>
          <w:color w:val="000000" w:themeColor="text1"/>
          <w:lang w:val="en-US"/>
        </w:rPr>
        <w:t xml:space="preserve">with mean age </w:t>
      </w:r>
      <w:r w:rsidR="006070CB" w:rsidRPr="00156087">
        <w:rPr>
          <w:rFonts w:cstheme="minorHAnsi"/>
          <w:color w:val="000000" w:themeColor="text1"/>
          <w:lang w:val="en-US"/>
        </w:rPr>
        <w:t xml:space="preserve">20.3 </w:t>
      </w:r>
      <w:r w:rsidR="00EE04DA" w:rsidRPr="00156087">
        <w:rPr>
          <w:rFonts w:cstheme="minorHAnsi"/>
          <w:color w:val="000000" w:themeColor="text1"/>
          <w:lang w:val="en-US"/>
        </w:rPr>
        <w:t>years</w:t>
      </w:r>
      <w:r w:rsidR="008D0700" w:rsidRPr="00156087">
        <w:rPr>
          <w:rFonts w:cstheme="minorHAnsi"/>
          <w:color w:val="000000" w:themeColor="text1"/>
          <w:lang w:val="en-US"/>
        </w:rPr>
        <w:t xml:space="preserve"> </w:t>
      </w:r>
      <w:r w:rsidR="006070CB" w:rsidRPr="00156087">
        <w:rPr>
          <w:rFonts w:cstheme="minorHAnsi"/>
          <w:color w:val="000000" w:themeColor="text1"/>
          <w:lang w:val="en-US"/>
        </w:rPr>
        <w:t xml:space="preserve">at the time of diagnosis </w:t>
      </w:r>
      <w:r w:rsidR="00CB6B91" w:rsidRPr="00156087">
        <w:rPr>
          <w:rFonts w:cstheme="minorHAnsi"/>
          <w:color w:val="000000" w:themeColor="text1"/>
          <w:lang w:val="en-US"/>
        </w:rPr>
        <w:t>(SD</w:t>
      </w:r>
      <w:r w:rsidR="006070CB" w:rsidRPr="00156087">
        <w:rPr>
          <w:rFonts w:cstheme="minorHAnsi"/>
          <w:color w:val="000000" w:themeColor="text1"/>
          <w:lang w:val="en-US"/>
        </w:rPr>
        <w:t>=</w:t>
      </w:r>
      <w:r w:rsidR="00647D81" w:rsidRPr="00156087">
        <w:rPr>
          <w:rFonts w:cstheme="minorHAnsi"/>
          <w:color w:val="000000" w:themeColor="text1"/>
          <w:lang w:val="en-US"/>
        </w:rPr>
        <w:t>7.9</w:t>
      </w:r>
      <w:r w:rsidR="00CB6B91" w:rsidRPr="00156087">
        <w:rPr>
          <w:rFonts w:cstheme="minorHAnsi"/>
          <w:color w:val="000000" w:themeColor="text1"/>
          <w:lang w:val="en-US"/>
        </w:rPr>
        <w:t xml:space="preserve">) </w:t>
      </w:r>
      <w:r w:rsidR="00886423" w:rsidRPr="00156087">
        <w:rPr>
          <w:rFonts w:cstheme="minorHAnsi"/>
          <w:color w:val="000000" w:themeColor="text1"/>
          <w:lang w:val="en-US"/>
        </w:rPr>
        <w:t xml:space="preserve">and </w:t>
      </w:r>
      <w:r w:rsidR="00341C22" w:rsidRPr="00156087">
        <w:rPr>
          <w:rFonts w:cstheme="minorHAnsi"/>
          <w:color w:val="000000" w:themeColor="text1"/>
          <w:lang w:val="en-US"/>
        </w:rPr>
        <w:t xml:space="preserve">2692 </w:t>
      </w:r>
      <w:r w:rsidR="00886423" w:rsidRPr="00156087">
        <w:rPr>
          <w:rFonts w:cstheme="minorHAnsi"/>
          <w:color w:val="000000" w:themeColor="text1"/>
          <w:lang w:val="en-US"/>
        </w:rPr>
        <w:t xml:space="preserve">(48%) </w:t>
      </w:r>
      <w:r w:rsidR="00CB6B91" w:rsidRPr="00156087">
        <w:rPr>
          <w:rFonts w:cstheme="minorHAnsi"/>
          <w:color w:val="000000" w:themeColor="text1"/>
          <w:lang w:val="en-US"/>
        </w:rPr>
        <w:t xml:space="preserve">females with mean age </w:t>
      </w:r>
      <w:r w:rsidR="00647D81" w:rsidRPr="00156087">
        <w:rPr>
          <w:rFonts w:cstheme="minorHAnsi"/>
          <w:color w:val="000000" w:themeColor="text1"/>
          <w:lang w:val="en-US"/>
        </w:rPr>
        <w:t>21.0</w:t>
      </w:r>
      <w:r w:rsidR="00EE04DA" w:rsidRPr="00156087">
        <w:rPr>
          <w:rFonts w:cstheme="minorHAnsi"/>
          <w:color w:val="000000" w:themeColor="text1"/>
          <w:lang w:val="en-US"/>
        </w:rPr>
        <w:t xml:space="preserve"> years</w:t>
      </w:r>
      <w:r w:rsidR="001A35BB" w:rsidRPr="00156087">
        <w:rPr>
          <w:rFonts w:cstheme="minorHAnsi"/>
          <w:color w:val="000000" w:themeColor="text1"/>
          <w:lang w:val="en-US"/>
        </w:rPr>
        <w:t xml:space="preserve"> at diagnosis</w:t>
      </w:r>
      <w:r w:rsidR="008D0700" w:rsidRPr="00156087">
        <w:rPr>
          <w:rFonts w:cstheme="minorHAnsi"/>
          <w:color w:val="000000" w:themeColor="text1"/>
          <w:lang w:val="en-US"/>
        </w:rPr>
        <w:t xml:space="preserve"> </w:t>
      </w:r>
      <w:r w:rsidR="00CB6B91" w:rsidRPr="00156087">
        <w:rPr>
          <w:rFonts w:cstheme="minorHAnsi"/>
          <w:color w:val="000000" w:themeColor="text1"/>
          <w:lang w:val="en-US"/>
        </w:rPr>
        <w:t>(SD</w:t>
      </w:r>
      <w:r w:rsidR="00647D81" w:rsidRPr="00156087">
        <w:rPr>
          <w:rFonts w:cstheme="minorHAnsi"/>
          <w:color w:val="000000" w:themeColor="text1"/>
          <w:lang w:val="en-US"/>
        </w:rPr>
        <w:t>=7.8</w:t>
      </w:r>
      <w:r w:rsidR="00CB6B91" w:rsidRPr="00156087">
        <w:rPr>
          <w:rFonts w:cstheme="minorHAnsi"/>
          <w:color w:val="000000" w:themeColor="text1"/>
          <w:lang w:val="en-US"/>
        </w:rPr>
        <w:t>)</w:t>
      </w:r>
      <w:r w:rsidRPr="00156087">
        <w:rPr>
          <w:rFonts w:cstheme="minorHAnsi"/>
          <w:color w:val="000000" w:themeColor="text1"/>
          <w:lang w:val="en-US"/>
        </w:rPr>
        <w:t xml:space="preserve">. The most prevalent </w:t>
      </w:r>
      <w:r w:rsidR="00257232" w:rsidRPr="00156087">
        <w:rPr>
          <w:rFonts w:cstheme="minorHAnsi"/>
          <w:color w:val="000000" w:themeColor="text1"/>
          <w:lang w:val="en-US"/>
        </w:rPr>
        <w:t>diagnostic groups</w:t>
      </w:r>
      <w:r w:rsidRPr="00156087">
        <w:rPr>
          <w:rFonts w:cstheme="minorHAnsi"/>
          <w:color w:val="000000" w:themeColor="text1"/>
          <w:lang w:val="en-US"/>
        </w:rPr>
        <w:t xml:space="preserve"> were cancer of male genitals, cancer of female genitals</w:t>
      </w:r>
      <w:r w:rsidR="0065295E" w:rsidRPr="00156087">
        <w:rPr>
          <w:rFonts w:cstheme="minorHAnsi"/>
          <w:color w:val="000000" w:themeColor="text1"/>
          <w:lang w:val="en-US"/>
        </w:rPr>
        <w:t>, hematological</w:t>
      </w:r>
      <w:r w:rsidR="00CB6B91" w:rsidRPr="00156087">
        <w:rPr>
          <w:rFonts w:cstheme="minorHAnsi"/>
          <w:color w:val="000000" w:themeColor="text1"/>
          <w:lang w:val="en-US"/>
        </w:rPr>
        <w:t xml:space="preserve"> malignancies, cancers of the central nervous system and malignant melanoma (table 1).  </w:t>
      </w:r>
    </w:p>
    <w:p w14:paraId="316FF377" w14:textId="77777777" w:rsidR="008D6F82" w:rsidRPr="00156087" w:rsidRDefault="008D6F82" w:rsidP="008D6F82">
      <w:pPr>
        <w:spacing w:after="0" w:line="360" w:lineRule="auto"/>
        <w:rPr>
          <w:rFonts w:cstheme="minorHAnsi"/>
          <w:color w:val="000000" w:themeColor="text1"/>
          <w:lang w:val="en-US"/>
        </w:rPr>
      </w:pPr>
    </w:p>
    <w:p w14:paraId="298E7A98" w14:textId="56E3B193" w:rsidR="00DE5E14" w:rsidRPr="00156087" w:rsidRDefault="000B734D" w:rsidP="008D6F82">
      <w:pPr>
        <w:spacing w:after="0" w:line="360" w:lineRule="auto"/>
        <w:rPr>
          <w:rFonts w:cstheme="minorHAnsi"/>
          <w:i/>
          <w:color w:val="000000" w:themeColor="text1"/>
          <w:lang w:val="en-US"/>
        </w:rPr>
      </w:pPr>
      <w:r w:rsidRPr="00156087">
        <w:rPr>
          <w:rFonts w:cstheme="minorHAnsi"/>
          <w:i/>
          <w:color w:val="000000" w:themeColor="text1"/>
          <w:lang w:val="en-US"/>
        </w:rPr>
        <w:t xml:space="preserve">3.2 </w:t>
      </w:r>
      <w:r w:rsidR="00F52F79" w:rsidRPr="00156087">
        <w:rPr>
          <w:rFonts w:cstheme="minorHAnsi"/>
          <w:i/>
          <w:color w:val="000000" w:themeColor="text1"/>
          <w:lang w:val="en-US"/>
        </w:rPr>
        <w:t>A</w:t>
      </w:r>
      <w:r w:rsidR="00DE5E14" w:rsidRPr="00156087">
        <w:rPr>
          <w:rFonts w:cstheme="minorHAnsi"/>
          <w:i/>
          <w:color w:val="000000" w:themeColor="text1"/>
          <w:lang w:val="en-US"/>
        </w:rPr>
        <w:t xml:space="preserve">nalgesic use </w:t>
      </w:r>
    </w:p>
    <w:p w14:paraId="4962E905" w14:textId="7833539E" w:rsidR="00A801F1" w:rsidRPr="00156087" w:rsidRDefault="0065295E" w:rsidP="008D6F82">
      <w:pPr>
        <w:spacing w:after="0" w:line="360" w:lineRule="auto"/>
        <w:rPr>
          <w:rFonts w:cstheme="minorHAnsi"/>
          <w:color w:val="000000" w:themeColor="text1"/>
          <w:lang w:val="en-US"/>
        </w:rPr>
      </w:pPr>
      <w:r w:rsidRPr="00156087">
        <w:rPr>
          <w:rFonts w:cstheme="minorHAnsi"/>
          <w:color w:val="000000" w:themeColor="text1"/>
          <w:lang w:val="en-US"/>
        </w:rPr>
        <w:t xml:space="preserve">In the complete study population </w:t>
      </w:r>
      <w:r w:rsidR="001D35DA" w:rsidRPr="00156087">
        <w:rPr>
          <w:rFonts w:cstheme="minorHAnsi"/>
          <w:color w:val="000000" w:themeColor="text1"/>
          <w:lang w:val="en-US"/>
        </w:rPr>
        <w:t xml:space="preserve">neither </w:t>
      </w:r>
      <w:r w:rsidRPr="00156087">
        <w:rPr>
          <w:rFonts w:cstheme="minorHAnsi"/>
          <w:color w:val="000000" w:themeColor="text1"/>
          <w:lang w:val="en-US"/>
        </w:rPr>
        <w:t xml:space="preserve">stratified for </w:t>
      </w:r>
      <w:r w:rsidR="00DA6DD4" w:rsidRPr="00156087">
        <w:rPr>
          <w:rFonts w:cstheme="minorHAnsi"/>
          <w:color w:val="000000" w:themeColor="text1"/>
          <w:lang w:val="en-US"/>
        </w:rPr>
        <w:t>time since cancer diagnosis</w:t>
      </w:r>
      <w:r w:rsidRPr="00156087">
        <w:rPr>
          <w:rFonts w:cstheme="minorHAnsi"/>
          <w:color w:val="000000" w:themeColor="text1"/>
          <w:lang w:val="en-US"/>
        </w:rPr>
        <w:t xml:space="preserve"> </w:t>
      </w:r>
      <w:r w:rsidR="001D35DA" w:rsidRPr="00156087">
        <w:rPr>
          <w:rFonts w:cstheme="minorHAnsi"/>
          <w:color w:val="000000" w:themeColor="text1"/>
          <w:lang w:val="en-US"/>
        </w:rPr>
        <w:t>nor cancer type</w:t>
      </w:r>
      <w:r w:rsidR="00257232" w:rsidRPr="00156087">
        <w:rPr>
          <w:rFonts w:cstheme="minorHAnsi"/>
          <w:color w:val="000000" w:themeColor="text1"/>
          <w:lang w:val="en-US"/>
        </w:rPr>
        <w:t>,</w:t>
      </w:r>
      <w:r w:rsidR="001D35DA" w:rsidRPr="00156087">
        <w:rPr>
          <w:rFonts w:cstheme="minorHAnsi"/>
          <w:color w:val="000000" w:themeColor="text1"/>
          <w:lang w:val="en-US"/>
        </w:rPr>
        <w:t xml:space="preserve"> </w:t>
      </w:r>
      <w:r w:rsidRPr="00156087">
        <w:rPr>
          <w:rFonts w:cstheme="minorHAnsi"/>
          <w:color w:val="000000" w:themeColor="text1"/>
          <w:lang w:val="en-US"/>
        </w:rPr>
        <w:t xml:space="preserve">the overall finding </w:t>
      </w:r>
      <w:r w:rsidR="00876BA1" w:rsidRPr="00156087">
        <w:rPr>
          <w:rFonts w:cstheme="minorHAnsi"/>
          <w:color w:val="000000" w:themeColor="text1"/>
          <w:lang w:val="en-US"/>
        </w:rPr>
        <w:t>wa</w:t>
      </w:r>
      <w:r w:rsidRPr="00156087">
        <w:rPr>
          <w:rFonts w:cstheme="minorHAnsi"/>
          <w:color w:val="000000" w:themeColor="text1"/>
          <w:lang w:val="en-US"/>
        </w:rPr>
        <w:t xml:space="preserve">s that the </w:t>
      </w:r>
      <w:r w:rsidR="007F3B61" w:rsidRPr="00156087">
        <w:rPr>
          <w:rFonts w:cstheme="minorHAnsi"/>
          <w:color w:val="000000" w:themeColor="text1"/>
          <w:lang w:val="en-US"/>
        </w:rPr>
        <w:t xml:space="preserve">age adjusted </w:t>
      </w:r>
      <w:r w:rsidRPr="00156087">
        <w:rPr>
          <w:rFonts w:cstheme="minorHAnsi"/>
          <w:color w:val="000000" w:themeColor="text1"/>
          <w:lang w:val="en-US"/>
        </w:rPr>
        <w:t xml:space="preserve">one-year period prevalence of </w:t>
      </w:r>
      <w:r w:rsidR="00257232" w:rsidRPr="00156087">
        <w:rPr>
          <w:rFonts w:cstheme="minorHAnsi"/>
          <w:color w:val="000000" w:themeColor="text1"/>
          <w:lang w:val="en-US"/>
        </w:rPr>
        <w:t xml:space="preserve">prescriptions of </w:t>
      </w:r>
      <w:r w:rsidRPr="00156087">
        <w:rPr>
          <w:rFonts w:cstheme="minorHAnsi"/>
          <w:color w:val="000000" w:themeColor="text1"/>
          <w:lang w:val="en-US"/>
        </w:rPr>
        <w:t>opioids</w:t>
      </w:r>
      <w:r w:rsidR="00B56728" w:rsidRPr="00156087">
        <w:rPr>
          <w:rFonts w:cstheme="minorHAnsi"/>
          <w:color w:val="000000" w:themeColor="text1"/>
          <w:lang w:val="en-US"/>
        </w:rPr>
        <w:t>,</w:t>
      </w:r>
      <w:r w:rsidRPr="00156087">
        <w:rPr>
          <w:rFonts w:cstheme="minorHAnsi"/>
          <w:color w:val="000000" w:themeColor="text1"/>
          <w:lang w:val="en-US"/>
        </w:rPr>
        <w:t xml:space="preserve"> benzodiazepines </w:t>
      </w:r>
      <w:r w:rsidR="00B56728" w:rsidRPr="00156087">
        <w:rPr>
          <w:rFonts w:cstheme="minorHAnsi"/>
          <w:color w:val="000000" w:themeColor="text1"/>
          <w:lang w:val="en-US"/>
        </w:rPr>
        <w:t xml:space="preserve">and </w:t>
      </w:r>
      <w:r w:rsidR="00373605" w:rsidRPr="00156087">
        <w:rPr>
          <w:rFonts w:cstheme="minorHAnsi"/>
          <w:color w:val="000000" w:themeColor="text1"/>
          <w:lang w:val="en-US"/>
        </w:rPr>
        <w:t xml:space="preserve">benzodiazepine-related hypnotics </w:t>
      </w:r>
      <w:r w:rsidR="00260A1B" w:rsidRPr="00156087">
        <w:rPr>
          <w:rFonts w:cstheme="minorHAnsi"/>
          <w:color w:val="000000" w:themeColor="text1"/>
          <w:lang w:val="en-US"/>
        </w:rPr>
        <w:t xml:space="preserve">was </w:t>
      </w:r>
      <w:r w:rsidR="00F21EFA" w:rsidRPr="00156087">
        <w:rPr>
          <w:rFonts w:cstheme="minorHAnsi"/>
          <w:color w:val="000000" w:themeColor="text1"/>
          <w:lang w:val="en-US"/>
        </w:rPr>
        <w:t>20-5</w:t>
      </w:r>
      <w:r w:rsidR="00B56728" w:rsidRPr="00156087">
        <w:rPr>
          <w:rFonts w:cstheme="minorHAnsi"/>
          <w:color w:val="000000" w:themeColor="text1"/>
          <w:lang w:val="en-US"/>
        </w:rPr>
        <w:t>0%</w:t>
      </w:r>
      <w:r w:rsidRPr="00156087">
        <w:rPr>
          <w:rFonts w:cstheme="minorHAnsi"/>
          <w:color w:val="000000" w:themeColor="text1"/>
          <w:lang w:val="en-US"/>
        </w:rPr>
        <w:t xml:space="preserve"> increased </w:t>
      </w:r>
      <w:r w:rsidR="00B56728" w:rsidRPr="00156087">
        <w:rPr>
          <w:rFonts w:cstheme="minorHAnsi"/>
          <w:color w:val="000000" w:themeColor="text1"/>
          <w:lang w:val="en-US"/>
        </w:rPr>
        <w:t xml:space="preserve">and the one-year period prevalence of </w:t>
      </w:r>
      <w:r w:rsidR="00257232" w:rsidRPr="00156087">
        <w:rPr>
          <w:rFonts w:cstheme="minorHAnsi"/>
          <w:color w:val="000000" w:themeColor="text1"/>
          <w:lang w:val="en-US"/>
        </w:rPr>
        <w:t xml:space="preserve">prescriptions of </w:t>
      </w:r>
      <w:r w:rsidR="00373605" w:rsidRPr="00156087">
        <w:rPr>
          <w:rFonts w:cstheme="minorHAnsi"/>
          <w:color w:val="000000" w:themeColor="text1"/>
          <w:lang w:val="en-US"/>
        </w:rPr>
        <w:t xml:space="preserve">gabapentinoids </w:t>
      </w:r>
      <w:r w:rsidR="00257232" w:rsidRPr="00156087">
        <w:rPr>
          <w:rFonts w:cstheme="minorHAnsi"/>
          <w:color w:val="000000" w:themeColor="text1"/>
          <w:lang w:val="en-US"/>
        </w:rPr>
        <w:t>was increased two-fold</w:t>
      </w:r>
      <w:r w:rsidR="00B56728" w:rsidRPr="00156087">
        <w:rPr>
          <w:rFonts w:cstheme="minorHAnsi"/>
          <w:color w:val="000000" w:themeColor="text1"/>
          <w:lang w:val="en-US"/>
        </w:rPr>
        <w:t xml:space="preserve"> </w:t>
      </w:r>
      <w:r w:rsidRPr="00156087">
        <w:rPr>
          <w:rFonts w:cstheme="minorHAnsi"/>
          <w:color w:val="000000" w:themeColor="text1"/>
          <w:lang w:val="en-US"/>
        </w:rPr>
        <w:t xml:space="preserve">compared to the general population in both males and females (figure </w:t>
      </w:r>
      <w:r w:rsidR="001D5E17" w:rsidRPr="00156087">
        <w:rPr>
          <w:rFonts w:cstheme="minorHAnsi"/>
          <w:color w:val="000000" w:themeColor="text1"/>
          <w:lang w:val="en-US"/>
        </w:rPr>
        <w:t>3</w:t>
      </w:r>
      <w:r w:rsidRPr="00156087">
        <w:rPr>
          <w:rFonts w:cstheme="minorHAnsi"/>
          <w:color w:val="000000" w:themeColor="text1"/>
          <w:lang w:val="en-US"/>
        </w:rPr>
        <w:t xml:space="preserve">). </w:t>
      </w:r>
      <w:r w:rsidR="00686557" w:rsidRPr="00156087">
        <w:rPr>
          <w:rFonts w:cstheme="minorHAnsi"/>
          <w:color w:val="000000" w:themeColor="text1"/>
          <w:lang w:val="en-US"/>
        </w:rPr>
        <w:t>However, t</w:t>
      </w:r>
      <w:r w:rsidRPr="00156087">
        <w:rPr>
          <w:rFonts w:cstheme="minorHAnsi"/>
          <w:color w:val="000000" w:themeColor="text1"/>
          <w:lang w:val="en-US"/>
        </w:rPr>
        <w:t xml:space="preserve">he one-year period prevalence of </w:t>
      </w:r>
      <w:r w:rsidR="0000358C" w:rsidRPr="00156087">
        <w:rPr>
          <w:rFonts w:cstheme="minorHAnsi"/>
          <w:color w:val="000000" w:themeColor="text1"/>
          <w:lang w:val="en-US"/>
        </w:rPr>
        <w:t xml:space="preserve">prescriptions of </w:t>
      </w:r>
      <w:r w:rsidRPr="00156087">
        <w:rPr>
          <w:rFonts w:cstheme="minorHAnsi"/>
          <w:color w:val="000000" w:themeColor="text1"/>
          <w:lang w:val="en-US"/>
        </w:rPr>
        <w:t>paracetamol and NSAIDs</w:t>
      </w:r>
      <w:r w:rsidR="0000358C" w:rsidRPr="00156087">
        <w:rPr>
          <w:rFonts w:cstheme="minorHAnsi"/>
          <w:color w:val="000000" w:themeColor="text1"/>
          <w:lang w:val="en-US"/>
        </w:rPr>
        <w:t xml:space="preserve"> </w:t>
      </w:r>
      <w:r w:rsidR="00CB2501" w:rsidRPr="00156087">
        <w:rPr>
          <w:rFonts w:cstheme="minorHAnsi"/>
          <w:color w:val="000000" w:themeColor="text1"/>
          <w:lang w:val="en-US"/>
        </w:rPr>
        <w:t>was</w:t>
      </w:r>
      <w:r w:rsidRPr="00156087">
        <w:rPr>
          <w:rFonts w:cstheme="minorHAnsi"/>
          <w:color w:val="000000" w:themeColor="text1"/>
          <w:lang w:val="en-US"/>
        </w:rPr>
        <w:t xml:space="preserve"> not increased compared to the general population</w:t>
      </w:r>
      <w:bookmarkStart w:id="2" w:name="_Hlk536605076"/>
      <w:r w:rsidRPr="00156087">
        <w:rPr>
          <w:rFonts w:cstheme="minorHAnsi"/>
          <w:color w:val="000000" w:themeColor="text1"/>
          <w:lang w:val="en-US"/>
        </w:rPr>
        <w:t xml:space="preserve">. In </w:t>
      </w:r>
      <w:r w:rsidR="00B02714" w:rsidRPr="00156087">
        <w:rPr>
          <w:rFonts w:cstheme="minorHAnsi"/>
          <w:color w:val="000000" w:themeColor="text1"/>
          <w:lang w:val="en-US"/>
        </w:rPr>
        <w:t>females</w:t>
      </w:r>
      <w:r w:rsidRPr="00156087">
        <w:rPr>
          <w:rFonts w:cstheme="minorHAnsi"/>
          <w:color w:val="000000" w:themeColor="text1"/>
          <w:lang w:val="en-US"/>
        </w:rPr>
        <w:t xml:space="preserve"> the </w:t>
      </w:r>
      <w:r w:rsidR="00260A1B" w:rsidRPr="00156087">
        <w:rPr>
          <w:rFonts w:cstheme="minorHAnsi"/>
          <w:color w:val="000000" w:themeColor="text1"/>
          <w:lang w:val="en-US"/>
        </w:rPr>
        <w:t xml:space="preserve">age adjusted </w:t>
      </w:r>
      <w:r w:rsidRPr="00156087">
        <w:rPr>
          <w:rFonts w:cstheme="minorHAnsi"/>
          <w:color w:val="000000" w:themeColor="text1"/>
          <w:lang w:val="en-US"/>
        </w:rPr>
        <w:t xml:space="preserve">prevalence of high-dose use of benzodiazepines, benzodiazepine-related hypnotics, persistent opioid use and high-dose opioid use </w:t>
      </w:r>
      <w:r w:rsidR="00876BA1" w:rsidRPr="00156087">
        <w:rPr>
          <w:rFonts w:cstheme="minorHAnsi"/>
          <w:color w:val="000000" w:themeColor="text1"/>
          <w:lang w:val="en-US"/>
        </w:rPr>
        <w:t>we</w:t>
      </w:r>
      <w:r w:rsidRPr="00156087">
        <w:rPr>
          <w:rFonts w:cstheme="minorHAnsi"/>
          <w:color w:val="000000" w:themeColor="text1"/>
          <w:lang w:val="en-US"/>
        </w:rPr>
        <w:t xml:space="preserve">re increased compared to the </w:t>
      </w:r>
      <w:r w:rsidR="00260A1B" w:rsidRPr="00156087">
        <w:rPr>
          <w:rFonts w:cstheme="minorHAnsi"/>
          <w:color w:val="000000" w:themeColor="text1"/>
          <w:lang w:val="en-US"/>
        </w:rPr>
        <w:t>general</w:t>
      </w:r>
      <w:r w:rsidRPr="00156087">
        <w:rPr>
          <w:rFonts w:cstheme="minorHAnsi"/>
          <w:color w:val="000000" w:themeColor="text1"/>
          <w:lang w:val="en-US"/>
        </w:rPr>
        <w:t xml:space="preserve"> population, </w:t>
      </w:r>
      <w:bookmarkEnd w:id="2"/>
      <w:r w:rsidRPr="00156087">
        <w:rPr>
          <w:rFonts w:cstheme="minorHAnsi"/>
          <w:color w:val="000000" w:themeColor="text1"/>
          <w:lang w:val="en-US"/>
        </w:rPr>
        <w:t xml:space="preserve">whereas in males only the prevalence </w:t>
      </w:r>
      <w:r w:rsidR="00260A1B" w:rsidRPr="00156087">
        <w:rPr>
          <w:rFonts w:cstheme="minorHAnsi"/>
          <w:color w:val="000000" w:themeColor="text1"/>
          <w:lang w:val="en-US"/>
        </w:rPr>
        <w:t xml:space="preserve">of </w:t>
      </w:r>
      <w:r w:rsidRPr="00156087">
        <w:rPr>
          <w:rFonts w:cstheme="minorHAnsi"/>
          <w:color w:val="000000" w:themeColor="text1"/>
          <w:lang w:val="en-US"/>
        </w:rPr>
        <w:t xml:space="preserve">high-dose benzodiazepine use </w:t>
      </w:r>
      <w:r w:rsidR="00876BA1" w:rsidRPr="00156087">
        <w:rPr>
          <w:rFonts w:cstheme="minorHAnsi"/>
          <w:color w:val="000000" w:themeColor="text1"/>
          <w:lang w:val="en-US"/>
        </w:rPr>
        <w:t>wa</w:t>
      </w:r>
      <w:r w:rsidR="00571973" w:rsidRPr="00156087">
        <w:rPr>
          <w:rFonts w:cstheme="minorHAnsi"/>
          <w:color w:val="000000" w:themeColor="text1"/>
          <w:lang w:val="en-US"/>
        </w:rPr>
        <w:t xml:space="preserve">s </w:t>
      </w:r>
      <w:r w:rsidRPr="00156087">
        <w:rPr>
          <w:rFonts w:cstheme="minorHAnsi"/>
          <w:color w:val="000000" w:themeColor="text1"/>
          <w:lang w:val="en-US"/>
        </w:rPr>
        <w:t xml:space="preserve">increased. </w:t>
      </w:r>
    </w:p>
    <w:p w14:paraId="2FA6D6F5" w14:textId="07215B85" w:rsidR="00A801F1" w:rsidRPr="00156087" w:rsidRDefault="00A801F1" w:rsidP="008D6F82">
      <w:pPr>
        <w:spacing w:after="0" w:line="360" w:lineRule="auto"/>
        <w:rPr>
          <w:rFonts w:cstheme="minorHAnsi"/>
          <w:i/>
          <w:color w:val="000000" w:themeColor="text1"/>
          <w:lang w:val="en-US"/>
        </w:rPr>
      </w:pPr>
      <w:r w:rsidRPr="00156087">
        <w:rPr>
          <w:rFonts w:cstheme="minorHAnsi"/>
          <w:color w:val="000000" w:themeColor="text1"/>
          <w:lang w:val="en-US"/>
        </w:rPr>
        <w:t xml:space="preserve">When the study population was stratified according to cancer type there was no clear pattern, and the confidence intervals were wide and overlapping (figure 3). When the study population was stratified according to age at diagnosis and time since cancer </w:t>
      </w:r>
      <w:r w:rsidR="00257232" w:rsidRPr="00156087">
        <w:rPr>
          <w:rFonts w:cstheme="minorHAnsi"/>
          <w:color w:val="000000" w:themeColor="text1"/>
          <w:lang w:val="en-US"/>
        </w:rPr>
        <w:t xml:space="preserve">diagnosis </w:t>
      </w:r>
      <w:r w:rsidR="000554DF" w:rsidRPr="00156087">
        <w:rPr>
          <w:rFonts w:cstheme="minorHAnsi"/>
          <w:color w:val="000000" w:themeColor="text1"/>
          <w:lang w:val="en-US"/>
        </w:rPr>
        <w:t>the one</w:t>
      </w:r>
      <w:r w:rsidR="00BE30CD" w:rsidRPr="00156087">
        <w:rPr>
          <w:rFonts w:cstheme="minorHAnsi"/>
          <w:color w:val="000000" w:themeColor="text1"/>
          <w:lang w:val="en-US"/>
        </w:rPr>
        <w:t>-</w:t>
      </w:r>
      <w:r w:rsidR="000554DF" w:rsidRPr="00156087">
        <w:rPr>
          <w:rFonts w:cstheme="minorHAnsi"/>
          <w:color w:val="000000" w:themeColor="text1"/>
          <w:lang w:val="en-US"/>
        </w:rPr>
        <w:t xml:space="preserve">year period prevalence of opioid use and the prevalence of persistent opioid use </w:t>
      </w:r>
      <w:r w:rsidR="00BE30CD" w:rsidRPr="00156087">
        <w:rPr>
          <w:rFonts w:cstheme="minorHAnsi"/>
          <w:color w:val="000000" w:themeColor="text1"/>
          <w:lang w:val="en-US"/>
        </w:rPr>
        <w:t>w</w:t>
      </w:r>
      <w:r w:rsidR="00381A56" w:rsidRPr="00156087">
        <w:rPr>
          <w:rFonts w:cstheme="minorHAnsi"/>
          <w:color w:val="000000" w:themeColor="text1"/>
          <w:lang w:val="en-US"/>
        </w:rPr>
        <w:t>ere</w:t>
      </w:r>
      <w:r w:rsidR="000554DF" w:rsidRPr="00156087">
        <w:rPr>
          <w:rFonts w:cstheme="minorHAnsi"/>
          <w:color w:val="000000" w:themeColor="text1"/>
          <w:lang w:val="en-US"/>
        </w:rPr>
        <w:t xml:space="preserve"> </w:t>
      </w:r>
      <w:r w:rsidR="00ED63C9" w:rsidRPr="00156087">
        <w:rPr>
          <w:rFonts w:cstheme="minorHAnsi"/>
          <w:color w:val="000000" w:themeColor="text1"/>
          <w:lang w:val="en-US"/>
        </w:rPr>
        <w:t>with only two exceptions</w:t>
      </w:r>
      <w:r w:rsidR="000554DF" w:rsidRPr="00156087">
        <w:rPr>
          <w:rFonts w:cstheme="minorHAnsi"/>
          <w:color w:val="000000" w:themeColor="text1"/>
          <w:lang w:val="en-US"/>
        </w:rPr>
        <w:t xml:space="preserve"> higher in the study population compared to the general population (table 2). </w:t>
      </w:r>
      <w:r w:rsidR="00C806C2" w:rsidRPr="00156087">
        <w:rPr>
          <w:rFonts w:cstheme="minorHAnsi"/>
          <w:color w:val="000000" w:themeColor="text1"/>
          <w:lang w:val="en-US"/>
        </w:rPr>
        <w:t>Overall, t</w:t>
      </w:r>
      <w:r w:rsidR="000554DF" w:rsidRPr="00156087">
        <w:rPr>
          <w:rFonts w:cstheme="minorHAnsi"/>
          <w:color w:val="000000" w:themeColor="text1"/>
          <w:lang w:val="en-US"/>
        </w:rPr>
        <w:t xml:space="preserve">he one-year period prevalence of opioid use </w:t>
      </w:r>
      <w:r w:rsidR="00BE30CD" w:rsidRPr="00156087">
        <w:rPr>
          <w:rFonts w:cstheme="minorHAnsi"/>
          <w:color w:val="000000" w:themeColor="text1"/>
          <w:lang w:val="en-US"/>
        </w:rPr>
        <w:t>wa</w:t>
      </w:r>
      <w:r w:rsidR="000554DF" w:rsidRPr="00156087">
        <w:rPr>
          <w:rFonts w:cstheme="minorHAnsi"/>
          <w:color w:val="000000" w:themeColor="text1"/>
          <w:lang w:val="en-US"/>
        </w:rPr>
        <w:t xml:space="preserve">s higher in the highest age groups both in the study population and in the general population </w:t>
      </w:r>
      <w:r w:rsidRPr="00156087">
        <w:rPr>
          <w:rFonts w:cstheme="minorHAnsi"/>
          <w:color w:val="000000" w:themeColor="text1"/>
          <w:lang w:val="en-US"/>
        </w:rPr>
        <w:t>(table 2)</w:t>
      </w:r>
      <w:r w:rsidR="000554DF" w:rsidRPr="00156087">
        <w:rPr>
          <w:rFonts w:cstheme="minorHAnsi"/>
          <w:color w:val="000000" w:themeColor="text1"/>
          <w:lang w:val="en-US"/>
        </w:rPr>
        <w:t>.</w:t>
      </w:r>
    </w:p>
    <w:p w14:paraId="5E6D24DE" w14:textId="1F4C2E78" w:rsidR="00DA6DD4" w:rsidRPr="00156087" w:rsidRDefault="00812674" w:rsidP="008D6F82">
      <w:pPr>
        <w:spacing w:after="0" w:line="360" w:lineRule="auto"/>
        <w:rPr>
          <w:rFonts w:cstheme="minorHAnsi"/>
          <w:color w:val="000000" w:themeColor="text1"/>
          <w:lang w:val="en-US"/>
        </w:rPr>
      </w:pPr>
      <w:r w:rsidRPr="00156087">
        <w:rPr>
          <w:rFonts w:cstheme="minorHAnsi"/>
          <w:color w:val="000000" w:themeColor="text1"/>
          <w:lang w:val="en-US"/>
        </w:rPr>
        <w:t xml:space="preserve">The median annual dose of gabapentinoids measured in DDDs was approximately twice as high in the cancer survivors compared to the general population. </w:t>
      </w:r>
    </w:p>
    <w:p w14:paraId="489F7C99" w14:textId="77777777" w:rsidR="008D6F82" w:rsidRPr="00156087" w:rsidRDefault="008D6F82" w:rsidP="008D6F82">
      <w:pPr>
        <w:spacing w:after="0" w:line="360" w:lineRule="auto"/>
        <w:rPr>
          <w:rFonts w:cstheme="minorHAnsi"/>
          <w:color w:val="000000" w:themeColor="text1"/>
          <w:lang w:val="en-US"/>
        </w:rPr>
      </w:pPr>
    </w:p>
    <w:p w14:paraId="1435E1E5" w14:textId="643EF5EB" w:rsidR="00302873" w:rsidRPr="00156087" w:rsidRDefault="000B734D" w:rsidP="008D6F82">
      <w:pPr>
        <w:spacing w:after="0" w:line="360" w:lineRule="auto"/>
        <w:rPr>
          <w:rFonts w:cstheme="minorHAnsi"/>
          <w:i/>
          <w:color w:val="000000" w:themeColor="text1"/>
          <w:lang w:val="en-US"/>
        </w:rPr>
      </w:pPr>
      <w:r w:rsidRPr="00156087">
        <w:rPr>
          <w:rFonts w:cstheme="minorHAnsi"/>
          <w:i/>
          <w:color w:val="000000" w:themeColor="text1"/>
          <w:lang w:val="en-US"/>
        </w:rPr>
        <w:t xml:space="preserve">3.3 </w:t>
      </w:r>
      <w:r w:rsidR="00862CE1" w:rsidRPr="00156087">
        <w:rPr>
          <w:rFonts w:cstheme="minorHAnsi"/>
          <w:i/>
          <w:color w:val="000000" w:themeColor="text1"/>
          <w:lang w:val="en-US"/>
        </w:rPr>
        <w:t>Persistent opioid</w:t>
      </w:r>
      <w:r w:rsidR="00302873" w:rsidRPr="00156087">
        <w:rPr>
          <w:rFonts w:cstheme="minorHAnsi"/>
          <w:i/>
          <w:color w:val="000000" w:themeColor="text1"/>
          <w:lang w:val="en-US"/>
        </w:rPr>
        <w:t xml:space="preserve"> use </w:t>
      </w:r>
      <w:r w:rsidR="00862CE1" w:rsidRPr="00156087">
        <w:rPr>
          <w:rFonts w:cstheme="minorHAnsi"/>
          <w:i/>
          <w:color w:val="000000" w:themeColor="text1"/>
          <w:lang w:val="en-US"/>
        </w:rPr>
        <w:t>and co-medication</w:t>
      </w:r>
    </w:p>
    <w:p w14:paraId="49D7730E" w14:textId="34161505" w:rsidR="00862CE1" w:rsidRPr="00156087" w:rsidRDefault="00B46690" w:rsidP="008D6F82">
      <w:pPr>
        <w:spacing w:after="0" w:line="360" w:lineRule="auto"/>
        <w:rPr>
          <w:rFonts w:cstheme="minorHAnsi"/>
          <w:color w:val="000000" w:themeColor="text1"/>
          <w:lang w:val="en-US"/>
        </w:rPr>
      </w:pPr>
      <w:r w:rsidRPr="00156087">
        <w:rPr>
          <w:rFonts w:cstheme="minorHAnsi"/>
          <w:color w:val="000000" w:themeColor="text1"/>
          <w:lang w:val="en-US"/>
        </w:rPr>
        <w:t>The percentage of persistent and</w:t>
      </w:r>
      <w:r w:rsidR="00381D6C" w:rsidRPr="00156087">
        <w:rPr>
          <w:rFonts w:cstheme="minorHAnsi"/>
          <w:color w:val="000000" w:themeColor="text1"/>
          <w:lang w:val="en-US"/>
        </w:rPr>
        <w:t>/or</w:t>
      </w:r>
      <w:r w:rsidRPr="00156087">
        <w:rPr>
          <w:rFonts w:cstheme="minorHAnsi"/>
          <w:color w:val="000000" w:themeColor="text1"/>
          <w:lang w:val="en-US"/>
        </w:rPr>
        <w:t xml:space="preserve"> high-dose opioid users with co-medication with high doses of benzodiazepines and/or benzodiazepine-related hypnotics was higher in cancer survivors compared to th</w:t>
      </w:r>
      <w:r w:rsidR="00415CD5" w:rsidRPr="00156087">
        <w:rPr>
          <w:rFonts w:cstheme="minorHAnsi"/>
          <w:color w:val="000000" w:themeColor="text1"/>
          <w:lang w:val="en-US"/>
        </w:rPr>
        <w:t>e general population (figure 4</w:t>
      </w:r>
      <w:r w:rsidRPr="00156087">
        <w:rPr>
          <w:rFonts w:cstheme="minorHAnsi"/>
          <w:color w:val="000000" w:themeColor="text1"/>
          <w:lang w:val="en-US"/>
        </w:rPr>
        <w:t xml:space="preserve">). </w:t>
      </w:r>
      <w:r w:rsidR="002767C5" w:rsidRPr="00156087">
        <w:rPr>
          <w:rFonts w:cstheme="minorHAnsi"/>
          <w:color w:val="000000" w:themeColor="text1"/>
          <w:lang w:val="en-US"/>
        </w:rPr>
        <w:t>All high-dose opioid users in the study population</w:t>
      </w:r>
      <w:r w:rsidR="00381D6C" w:rsidRPr="00156087">
        <w:rPr>
          <w:rFonts w:cstheme="minorHAnsi"/>
          <w:color w:val="000000" w:themeColor="text1"/>
          <w:lang w:val="en-US"/>
        </w:rPr>
        <w:t xml:space="preserve"> were</w:t>
      </w:r>
      <w:r w:rsidR="002767C5" w:rsidRPr="00156087">
        <w:rPr>
          <w:rFonts w:cstheme="minorHAnsi"/>
          <w:color w:val="000000" w:themeColor="text1"/>
          <w:lang w:val="en-US"/>
        </w:rPr>
        <w:t xml:space="preserve"> co-medicated with high doses of benzodiazepines and/or benzodiazepine-related hypnotics</w:t>
      </w:r>
      <w:r w:rsidR="00381D6C" w:rsidRPr="00156087">
        <w:rPr>
          <w:rFonts w:cstheme="minorHAnsi"/>
          <w:color w:val="000000" w:themeColor="text1"/>
          <w:lang w:val="en-US"/>
        </w:rPr>
        <w:t>,</w:t>
      </w:r>
      <w:r w:rsidR="002767C5" w:rsidRPr="00156087">
        <w:rPr>
          <w:rFonts w:cstheme="minorHAnsi"/>
          <w:color w:val="000000" w:themeColor="text1"/>
          <w:lang w:val="en-US"/>
        </w:rPr>
        <w:t xml:space="preserve"> whereas in the general population two thirds of high-dose opioid users had such co-medication. In the study population 79% </w:t>
      </w:r>
      <w:r w:rsidR="00381D6C" w:rsidRPr="00156087">
        <w:rPr>
          <w:rFonts w:cstheme="minorHAnsi"/>
          <w:color w:val="000000" w:themeColor="text1"/>
          <w:lang w:val="en-US"/>
        </w:rPr>
        <w:t xml:space="preserve">of persistent opioid users were </w:t>
      </w:r>
      <w:r w:rsidR="002767C5" w:rsidRPr="00156087">
        <w:rPr>
          <w:rFonts w:cstheme="minorHAnsi"/>
          <w:color w:val="000000" w:themeColor="text1"/>
          <w:lang w:val="en-US"/>
        </w:rPr>
        <w:t xml:space="preserve">co-medicated with benzodiazepines and/or benzodiazepine-related hypnotics compared to 62% in the general population. </w:t>
      </w:r>
      <w:r w:rsidR="00862CE1" w:rsidRPr="00156087">
        <w:rPr>
          <w:rFonts w:cstheme="minorHAnsi"/>
          <w:color w:val="000000" w:themeColor="text1"/>
          <w:lang w:val="en-US"/>
        </w:rPr>
        <w:br w:type="page"/>
      </w:r>
    </w:p>
    <w:p w14:paraId="6965CC94" w14:textId="77777777" w:rsidR="00EC2740" w:rsidRPr="00156087" w:rsidRDefault="000B734D" w:rsidP="008D6F82">
      <w:pPr>
        <w:spacing w:after="0" w:line="360" w:lineRule="auto"/>
        <w:rPr>
          <w:rFonts w:cstheme="minorHAnsi"/>
          <w:b/>
          <w:color w:val="000000" w:themeColor="text1"/>
          <w:lang w:val="en-US"/>
        </w:rPr>
      </w:pPr>
      <w:r w:rsidRPr="00156087">
        <w:rPr>
          <w:rFonts w:cstheme="minorHAnsi"/>
          <w:b/>
          <w:color w:val="000000" w:themeColor="text1"/>
          <w:lang w:val="en-US"/>
        </w:rPr>
        <w:lastRenderedPageBreak/>
        <w:t xml:space="preserve">4. </w:t>
      </w:r>
      <w:r w:rsidR="0093724C" w:rsidRPr="00156087">
        <w:rPr>
          <w:rFonts w:cstheme="minorHAnsi"/>
          <w:b/>
          <w:color w:val="000000" w:themeColor="text1"/>
          <w:lang w:val="en-US"/>
        </w:rPr>
        <w:t>Discussion</w:t>
      </w:r>
    </w:p>
    <w:p w14:paraId="67A73ED2" w14:textId="6B43FB43" w:rsidR="004C1EF7" w:rsidRPr="00156087" w:rsidRDefault="004C1EF7" w:rsidP="008D6F82">
      <w:pPr>
        <w:spacing w:after="0" w:line="360" w:lineRule="auto"/>
        <w:rPr>
          <w:rFonts w:cstheme="minorHAnsi"/>
          <w:color w:val="000000" w:themeColor="text1"/>
          <w:lang w:val="en-US"/>
        </w:rPr>
      </w:pPr>
      <w:r w:rsidRPr="00156087">
        <w:rPr>
          <w:rFonts w:cstheme="minorHAnsi"/>
          <w:color w:val="000000" w:themeColor="text1"/>
          <w:lang w:val="en-US"/>
        </w:rPr>
        <w:t>The main finding</w:t>
      </w:r>
      <w:r w:rsidR="00BE30CD" w:rsidRPr="00156087">
        <w:rPr>
          <w:rFonts w:cstheme="minorHAnsi"/>
          <w:color w:val="000000" w:themeColor="text1"/>
          <w:lang w:val="en-US"/>
        </w:rPr>
        <w:t>s</w:t>
      </w:r>
      <w:r w:rsidRPr="00156087">
        <w:rPr>
          <w:rFonts w:cstheme="minorHAnsi"/>
          <w:color w:val="000000" w:themeColor="text1"/>
          <w:lang w:val="en-US"/>
        </w:rPr>
        <w:t xml:space="preserve"> </w:t>
      </w:r>
      <w:r w:rsidR="00FC5C6D" w:rsidRPr="00156087">
        <w:rPr>
          <w:rFonts w:cstheme="minorHAnsi"/>
          <w:color w:val="000000" w:themeColor="text1"/>
          <w:lang w:val="en-US"/>
        </w:rPr>
        <w:t>in</w:t>
      </w:r>
      <w:r w:rsidRPr="00156087">
        <w:rPr>
          <w:rFonts w:cstheme="minorHAnsi"/>
          <w:color w:val="000000" w:themeColor="text1"/>
          <w:lang w:val="en-US"/>
        </w:rPr>
        <w:t xml:space="preserve"> the present study </w:t>
      </w:r>
      <w:r w:rsidR="007F3B61" w:rsidRPr="00156087">
        <w:rPr>
          <w:rFonts w:cstheme="minorHAnsi"/>
          <w:color w:val="000000" w:themeColor="text1"/>
          <w:lang w:val="en-US"/>
        </w:rPr>
        <w:t>was</w:t>
      </w:r>
      <w:r w:rsidRPr="00156087">
        <w:rPr>
          <w:rFonts w:cstheme="minorHAnsi"/>
          <w:color w:val="000000" w:themeColor="text1"/>
          <w:lang w:val="en-US"/>
        </w:rPr>
        <w:t xml:space="preserve"> that survivors of cancer in </w:t>
      </w:r>
      <w:bookmarkStart w:id="3" w:name="OLE_LINK2"/>
      <w:r w:rsidR="00690522" w:rsidRPr="00156087">
        <w:rPr>
          <w:rFonts w:cstheme="minorHAnsi"/>
          <w:color w:val="000000" w:themeColor="text1"/>
          <w:lang w:val="en-US"/>
        </w:rPr>
        <w:t>CAEA</w:t>
      </w:r>
      <w:r w:rsidRPr="00156087">
        <w:rPr>
          <w:rFonts w:cstheme="minorHAnsi"/>
          <w:color w:val="000000" w:themeColor="text1"/>
          <w:lang w:val="en-US"/>
        </w:rPr>
        <w:t xml:space="preserve"> </w:t>
      </w:r>
      <w:bookmarkEnd w:id="3"/>
      <w:r w:rsidRPr="00156087">
        <w:rPr>
          <w:rFonts w:cstheme="minorHAnsi"/>
          <w:color w:val="000000" w:themeColor="text1"/>
          <w:lang w:val="en-US"/>
        </w:rPr>
        <w:t xml:space="preserve">only </w:t>
      </w:r>
      <w:r w:rsidR="007F3B61" w:rsidRPr="00156087">
        <w:rPr>
          <w:rFonts w:cstheme="minorHAnsi"/>
          <w:color w:val="000000" w:themeColor="text1"/>
          <w:lang w:val="en-US"/>
        </w:rPr>
        <w:t>had</w:t>
      </w:r>
      <w:r w:rsidRPr="00156087">
        <w:rPr>
          <w:rFonts w:cstheme="minorHAnsi"/>
          <w:color w:val="000000" w:themeColor="text1"/>
          <w:lang w:val="en-US"/>
        </w:rPr>
        <w:t xml:space="preserve"> a slightly higher one-year period prevalence of </w:t>
      </w:r>
      <w:r w:rsidR="00BE30CD" w:rsidRPr="00156087">
        <w:rPr>
          <w:rFonts w:cstheme="minorHAnsi"/>
          <w:color w:val="000000" w:themeColor="text1"/>
          <w:lang w:val="en-US"/>
        </w:rPr>
        <w:t xml:space="preserve">opioid </w:t>
      </w:r>
      <w:r w:rsidRPr="00156087">
        <w:rPr>
          <w:rFonts w:cstheme="minorHAnsi"/>
          <w:color w:val="000000" w:themeColor="text1"/>
          <w:lang w:val="en-US"/>
        </w:rPr>
        <w:t xml:space="preserve">use and of persistent and high-dose opioid use compared </w:t>
      </w:r>
      <w:r w:rsidR="00BE30CD" w:rsidRPr="00156087">
        <w:rPr>
          <w:rFonts w:cstheme="minorHAnsi"/>
          <w:color w:val="000000" w:themeColor="text1"/>
          <w:lang w:val="en-US"/>
        </w:rPr>
        <w:t>with</w:t>
      </w:r>
      <w:r w:rsidRPr="00156087">
        <w:rPr>
          <w:rFonts w:cstheme="minorHAnsi"/>
          <w:color w:val="000000" w:themeColor="text1"/>
          <w:lang w:val="en-US"/>
        </w:rPr>
        <w:t xml:space="preserve"> the </w:t>
      </w:r>
      <w:r w:rsidR="007F3B61" w:rsidRPr="00156087">
        <w:rPr>
          <w:rFonts w:cstheme="minorHAnsi"/>
          <w:color w:val="000000" w:themeColor="text1"/>
          <w:lang w:val="en-US"/>
        </w:rPr>
        <w:t xml:space="preserve">general population. However, </w:t>
      </w:r>
      <w:r w:rsidRPr="00156087">
        <w:rPr>
          <w:rFonts w:cstheme="minorHAnsi"/>
          <w:color w:val="000000" w:themeColor="text1"/>
          <w:lang w:val="en-US"/>
        </w:rPr>
        <w:t xml:space="preserve">a finding of major concern </w:t>
      </w:r>
      <w:r w:rsidR="00BE30CD" w:rsidRPr="00156087">
        <w:rPr>
          <w:rFonts w:cstheme="minorHAnsi"/>
          <w:color w:val="000000" w:themeColor="text1"/>
          <w:lang w:val="en-US"/>
        </w:rPr>
        <w:t xml:space="preserve">was </w:t>
      </w:r>
      <w:r w:rsidRPr="00156087">
        <w:rPr>
          <w:rFonts w:cstheme="minorHAnsi"/>
          <w:color w:val="000000" w:themeColor="text1"/>
          <w:lang w:val="en-US"/>
        </w:rPr>
        <w:t xml:space="preserve">that co-medication with high doses of benzodiazepines and benzodiazepine-related hypnotics </w:t>
      </w:r>
      <w:r w:rsidR="007F3B61" w:rsidRPr="00156087">
        <w:rPr>
          <w:rFonts w:cstheme="minorHAnsi"/>
          <w:color w:val="000000" w:themeColor="text1"/>
          <w:lang w:val="en-US"/>
        </w:rPr>
        <w:t>was</w:t>
      </w:r>
      <w:r w:rsidRPr="00156087">
        <w:rPr>
          <w:rFonts w:cstheme="minorHAnsi"/>
          <w:color w:val="000000" w:themeColor="text1"/>
          <w:lang w:val="en-US"/>
        </w:rPr>
        <w:t xml:space="preserve"> far more </w:t>
      </w:r>
      <w:r w:rsidR="00BE30CD" w:rsidRPr="00156087">
        <w:rPr>
          <w:rFonts w:cstheme="minorHAnsi"/>
          <w:color w:val="000000" w:themeColor="text1"/>
          <w:lang w:val="en-US"/>
        </w:rPr>
        <w:t>frequent</w:t>
      </w:r>
      <w:r w:rsidRPr="00156087">
        <w:rPr>
          <w:rFonts w:cstheme="minorHAnsi"/>
          <w:color w:val="000000" w:themeColor="text1"/>
          <w:lang w:val="en-US"/>
        </w:rPr>
        <w:t xml:space="preserve"> in cancer survivors with persistent or high-dose opioid use compared to </w:t>
      </w:r>
      <w:r w:rsidR="00BE30CD" w:rsidRPr="00156087">
        <w:rPr>
          <w:rFonts w:cstheme="minorHAnsi"/>
          <w:color w:val="000000" w:themeColor="text1"/>
          <w:lang w:val="en-US"/>
        </w:rPr>
        <w:t>individuals</w:t>
      </w:r>
      <w:r w:rsidRPr="00156087">
        <w:rPr>
          <w:rFonts w:cstheme="minorHAnsi"/>
          <w:color w:val="000000" w:themeColor="text1"/>
          <w:lang w:val="en-US"/>
        </w:rPr>
        <w:t xml:space="preserve"> in the general population with persistent or high-dose opioid use. </w:t>
      </w:r>
    </w:p>
    <w:p w14:paraId="4E47D3C0" w14:textId="77777777" w:rsidR="008D6F82" w:rsidRPr="00156087" w:rsidRDefault="008D6F82" w:rsidP="008D6F82">
      <w:pPr>
        <w:spacing w:after="0" w:line="360" w:lineRule="auto"/>
        <w:rPr>
          <w:rFonts w:cstheme="minorHAnsi"/>
          <w:color w:val="000000" w:themeColor="text1"/>
          <w:lang w:val="en-US"/>
        </w:rPr>
      </w:pPr>
    </w:p>
    <w:p w14:paraId="01664A92" w14:textId="0BB2E451" w:rsidR="004C69D0" w:rsidRPr="00156087" w:rsidRDefault="00A45F6A" w:rsidP="008D6F82">
      <w:pPr>
        <w:spacing w:after="0" w:line="360" w:lineRule="auto"/>
        <w:rPr>
          <w:rFonts w:cstheme="minorHAnsi"/>
          <w:color w:val="000000" w:themeColor="text1"/>
          <w:lang w:val="en-US"/>
        </w:rPr>
      </w:pPr>
      <w:r w:rsidRPr="00156087">
        <w:rPr>
          <w:rFonts w:cstheme="minorHAnsi"/>
          <w:color w:val="000000" w:themeColor="text1"/>
          <w:lang w:val="en-US"/>
        </w:rPr>
        <w:t xml:space="preserve">The slightly higher prevalence of opioid use including persistent and high-dose opioid use </w:t>
      </w:r>
      <w:r w:rsidR="00160F57" w:rsidRPr="00156087">
        <w:rPr>
          <w:rFonts w:cstheme="minorHAnsi"/>
          <w:color w:val="000000" w:themeColor="text1"/>
          <w:lang w:val="en-US"/>
        </w:rPr>
        <w:t xml:space="preserve">is in line with </w:t>
      </w:r>
      <w:r w:rsidR="00774B00" w:rsidRPr="00156087">
        <w:rPr>
          <w:rFonts w:cstheme="minorHAnsi"/>
          <w:color w:val="000000" w:themeColor="text1"/>
          <w:lang w:val="en-US"/>
        </w:rPr>
        <w:t xml:space="preserve">the previous findings based on self-reported drug use </w:t>
      </w:r>
      <w:r w:rsidR="00774B00" w:rsidRPr="00156087">
        <w:rPr>
          <w:rFonts w:cstheme="minorHAnsi"/>
          <w:noProof/>
          <w:color w:val="000000" w:themeColor="text1"/>
          <w:lang w:val="en-US"/>
        </w:rPr>
        <w:t>[5]</w:t>
      </w:r>
      <w:r w:rsidR="0006647A" w:rsidRPr="00156087">
        <w:rPr>
          <w:rFonts w:cstheme="minorHAnsi"/>
          <w:color w:val="000000" w:themeColor="text1"/>
          <w:lang w:val="en-US"/>
        </w:rPr>
        <w:t xml:space="preserve">. </w:t>
      </w:r>
      <w:r w:rsidR="00774B00" w:rsidRPr="00156087">
        <w:rPr>
          <w:rFonts w:cstheme="minorHAnsi"/>
          <w:color w:val="000000" w:themeColor="text1"/>
          <w:lang w:val="en-US"/>
        </w:rPr>
        <w:t xml:space="preserve">There are three possible explanations for this finding. </w:t>
      </w:r>
      <w:r w:rsidR="0006647A" w:rsidRPr="00156087">
        <w:rPr>
          <w:rFonts w:cstheme="minorHAnsi"/>
          <w:color w:val="000000" w:themeColor="text1"/>
          <w:lang w:val="en-US"/>
        </w:rPr>
        <w:t xml:space="preserve">The first and most obvious explanation is that this population of adult survivors of cancer in </w:t>
      </w:r>
      <w:r w:rsidR="00690522" w:rsidRPr="00156087">
        <w:rPr>
          <w:rFonts w:cstheme="minorHAnsi"/>
          <w:color w:val="000000" w:themeColor="text1"/>
          <w:lang w:val="en-US"/>
        </w:rPr>
        <w:t>CAEA</w:t>
      </w:r>
      <w:r w:rsidR="0006647A" w:rsidRPr="00156087">
        <w:rPr>
          <w:rFonts w:cstheme="minorHAnsi"/>
          <w:color w:val="000000" w:themeColor="text1"/>
          <w:lang w:val="en-US"/>
        </w:rPr>
        <w:t xml:space="preserve"> </w:t>
      </w:r>
      <w:r w:rsidR="001A35BB" w:rsidRPr="00156087">
        <w:rPr>
          <w:rFonts w:cstheme="minorHAnsi"/>
          <w:color w:val="000000" w:themeColor="text1"/>
          <w:lang w:val="en-US"/>
        </w:rPr>
        <w:t>may have</w:t>
      </w:r>
      <w:r w:rsidR="0006647A" w:rsidRPr="00156087">
        <w:rPr>
          <w:rFonts w:cstheme="minorHAnsi"/>
          <w:color w:val="000000" w:themeColor="text1"/>
          <w:lang w:val="en-US"/>
        </w:rPr>
        <w:t xml:space="preserve"> higher </w:t>
      </w:r>
      <w:r w:rsidR="004C69D0" w:rsidRPr="00156087">
        <w:rPr>
          <w:rFonts w:cstheme="minorHAnsi"/>
          <w:color w:val="000000" w:themeColor="text1"/>
          <w:lang w:val="en-US"/>
        </w:rPr>
        <w:t xml:space="preserve">prevalence of </w:t>
      </w:r>
      <w:r w:rsidR="00FC5C6D" w:rsidRPr="00156087">
        <w:rPr>
          <w:rFonts w:cstheme="minorHAnsi"/>
          <w:color w:val="000000" w:themeColor="text1"/>
          <w:lang w:val="en-US"/>
        </w:rPr>
        <w:t xml:space="preserve">severe </w:t>
      </w:r>
      <w:r w:rsidR="0099785C" w:rsidRPr="00156087">
        <w:rPr>
          <w:rFonts w:cstheme="minorHAnsi"/>
          <w:color w:val="000000" w:themeColor="text1"/>
          <w:lang w:val="en-US"/>
        </w:rPr>
        <w:t xml:space="preserve">chronic </w:t>
      </w:r>
      <w:r w:rsidR="004C69D0" w:rsidRPr="00156087">
        <w:rPr>
          <w:rFonts w:cstheme="minorHAnsi"/>
          <w:color w:val="000000" w:themeColor="text1"/>
          <w:lang w:val="en-US"/>
        </w:rPr>
        <w:t xml:space="preserve">pain due to </w:t>
      </w:r>
      <w:r w:rsidRPr="00156087">
        <w:rPr>
          <w:rFonts w:cstheme="minorHAnsi"/>
          <w:color w:val="000000" w:themeColor="text1"/>
          <w:lang w:val="en-US"/>
        </w:rPr>
        <w:t xml:space="preserve">previous </w:t>
      </w:r>
      <w:r w:rsidR="004C69D0" w:rsidRPr="00156087">
        <w:rPr>
          <w:rFonts w:cstheme="minorHAnsi"/>
          <w:color w:val="000000" w:themeColor="text1"/>
          <w:lang w:val="en-US"/>
        </w:rPr>
        <w:t>cancer treatment</w:t>
      </w:r>
      <w:r w:rsidR="0006647A" w:rsidRPr="00156087">
        <w:rPr>
          <w:rFonts w:cstheme="minorHAnsi"/>
          <w:color w:val="000000" w:themeColor="text1"/>
          <w:lang w:val="en-US"/>
        </w:rPr>
        <w:t xml:space="preserve">. </w:t>
      </w:r>
      <w:r w:rsidR="00030E25" w:rsidRPr="00156087">
        <w:rPr>
          <w:rFonts w:cstheme="minorHAnsi"/>
          <w:color w:val="000000" w:themeColor="text1"/>
          <w:lang w:val="en-US"/>
        </w:rPr>
        <w:t xml:space="preserve">This explanation </w:t>
      </w:r>
      <w:r w:rsidR="00D85FD8" w:rsidRPr="00156087">
        <w:rPr>
          <w:rFonts w:cstheme="minorHAnsi"/>
          <w:color w:val="000000" w:themeColor="text1"/>
          <w:lang w:val="en-US"/>
        </w:rPr>
        <w:t>is</w:t>
      </w:r>
      <w:r w:rsidR="00030E25" w:rsidRPr="00156087">
        <w:rPr>
          <w:rFonts w:cstheme="minorHAnsi"/>
          <w:color w:val="000000" w:themeColor="text1"/>
          <w:lang w:val="en-US"/>
        </w:rPr>
        <w:t xml:space="preserve"> in accordance with previous studies reporting a higher prevalence of pain in survivors of cancer in CAEA, but the literature has, however, not been unanimous with regard to </w:t>
      </w:r>
      <w:r w:rsidR="00D85FD8" w:rsidRPr="00156087">
        <w:rPr>
          <w:rFonts w:cstheme="minorHAnsi"/>
          <w:color w:val="000000" w:themeColor="text1"/>
          <w:lang w:val="en-US"/>
        </w:rPr>
        <w:t xml:space="preserve">findings of </w:t>
      </w:r>
      <w:r w:rsidR="00030E25" w:rsidRPr="00156087">
        <w:rPr>
          <w:rFonts w:cstheme="minorHAnsi"/>
          <w:color w:val="000000" w:themeColor="text1"/>
          <w:lang w:val="en-US"/>
        </w:rPr>
        <w:t>such a</w:t>
      </w:r>
      <w:r w:rsidR="00D85FD8" w:rsidRPr="00156087">
        <w:rPr>
          <w:rFonts w:cstheme="minorHAnsi"/>
          <w:color w:val="000000" w:themeColor="text1"/>
          <w:lang w:val="en-US"/>
        </w:rPr>
        <w:t xml:space="preserve"> high</w:t>
      </w:r>
      <w:r w:rsidR="00030E25" w:rsidRPr="00156087">
        <w:rPr>
          <w:rFonts w:cstheme="minorHAnsi"/>
          <w:color w:val="000000" w:themeColor="text1"/>
          <w:lang w:val="en-US"/>
        </w:rPr>
        <w:t xml:space="preserve"> pain prevalence </w:t>
      </w:r>
      <w:r w:rsidR="00553C26">
        <w:rPr>
          <w:rFonts w:cstheme="minorHAnsi"/>
          <w:noProof/>
          <w:color w:val="000000" w:themeColor="text1"/>
          <w:lang w:val="en-US"/>
        </w:rPr>
        <w:t>[1;31]</w:t>
      </w:r>
      <w:r w:rsidR="00030E25" w:rsidRPr="00156087">
        <w:rPr>
          <w:rFonts w:cstheme="minorHAnsi"/>
          <w:color w:val="000000" w:themeColor="text1"/>
          <w:lang w:val="en-US"/>
        </w:rPr>
        <w:t xml:space="preserve">. </w:t>
      </w:r>
      <w:r w:rsidR="0006647A" w:rsidRPr="00156087">
        <w:rPr>
          <w:rFonts w:cstheme="minorHAnsi"/>
          <w:color w:val="000000" w:themeColor="text1"/>
          <w:lang w:val="en-US"/>
        </w:rPr>
        <w:t xml:space="preserve">The second possible explanation is that this group may </w:t>
      </w:r>
      <w:r w:rsidR="0099785C" w:rsidRPr="00156087">
        <w:rPr>
          <w:rFonts w:cstheme="minorHAnsi"/>
          <w:color w:val="000000" w:themeColor="text1"/>
          <w:lang w:val="en-US"/>
        </w:rPr>
        <w:t>have adopted</w:t>
      </w:r>
      <w:r w:rsidR="0006647A" w:rsidRPr="00156087">
        <w:rPr>
          <w:rFonts w:cstheme="minorHAnsi"/>
          <w:color w:val="000000" w:themeColor="text1"/>
          <w:lang w:val="en-US"/>
        </w:rPr>
        <w:t xml:space="preserve"> more </w:t>
      </w:r>
      <w:r w:rsidR="004C69D0" w:rsidRPr="00156087">
        <w:rPr>
          <w:rFonts w:cstheme="minorHAnsi"/>
          <w:color w:val="000000" w:themeColor="text1"/>
          <w:lang w:val="en-US"/>
        </w:rPr>
        <w:t>passive and drug-focused coping strategies</w:t>
      </w:r>
      <w:r w:rsidRPr="00156087">
        <w:rPr>
          <w:rFonts w:cstheme="minorHAnsi"/>
          <w:color w:val="000000" w:themeColor="text1"/>
          <w:lang w:val="en-US"/>
        </w:rPr>
        <w:t xml:space="preserve"> for </w:t>
      </w:r>
      <w:r w:rsidR="0099785C" w:rsidRPr="00156087">
        <w:rPr>
          <w:rFonts w:cstheme="minorHAnsi"/>
          <w:color w:val="000000" w:themeColor="text1"/>
          <w:lang w:val="en-US"/>
        </w:rPr>
        <w:t xml:space="preserve">managing </w:t>
      </w:r>
      <w:r w:rsidRPr="00156087">
        <w:rPr>
          <w:rFonts w:cstheme="minorHAnsi"/>
          <w:color w:val="000000" w:themeColor="text1"/>
          <w:lang w:val="en-US"/>
        </w:rPr>
        <w:t>chronic pain</w:t>
      </w:r>
      <w:r w:rsidR="0099785C" w:rsidRPr="00156087">
        <w:rPr>
          <w:rFonts w:cstheme="minorHAnsi"/>
          <w:color w:val="000000" w:themeColor="text1"/>
          <w:lang w:val="en-US"/>
        </w:rPr>
        <w:t xml:space="preserve"> </w:t>
      </w:r>
      <w:r w:rsidR="0006647A" w:rsidRPr="00156087">
        <w:rPr>
          <w:rFonts w:cstheme="minorHAnsi"/>
          <w:color w:val="000000" w:themeColor="text1"/>
          <w:lang w:val="en-US"/>
        </w:rPr>
        <w:t xml:space="preserve">compared to the general population. The third possible explanation is that </w:t>
      </w:r>
      <w:r w:rsidR="004C69D0" w:rsidRPr="00156087">
        <w:rPr>
          <w:rFonts w:cstheme="minorHAnsi"/>
          <w:color w:val="000000" w:themeColor="text1"/>
          <w:lang w:val="en-US"/>
        </w:rPr>
        <w:t xml:space="preserve">physicians </w:t>
      </w:r>
      <w:r w:rsidR="0099785C" w:rsidRPr="00156087">
        <w:rPr>
          <w:rFonts w:cstheme="minorHAnsi"/>
          <w:color w:val="000000" w:themeColor="text1"/>
          <w:lang w:val="en-US"/>
        </w:rPr>
        <w:t xml:space="preserve">generally </w:t>
      </w:r>
      <w:r w:rsidRPr="00156087">
        <w:rPr>
          <w:rFonts w:cstheme="minorHAnsi"/>
          <w:color w:val="000000" w:themeColor="text1"/>
          <w:lang w:val="en-US"/>
        </w:rPr>
        <w:t xml:space="preserve">might </w:t>
      </w:r>
      <w:r w:rsidR="007F3B61" w:rsidRPr="00156087">
        <w:rPr>
          <w:rFonts w:cstheme="minorHAnsi"/>
          <w:color w:val="000000" w:themeColor="text1"/>
          <w:lang w:val="en-US"/>
        </w:rPr>
        <w:t xml:space="preserve">be </w:t>
      </w:r>
      <w:r w:rsidR="004C69D0" w:rsidRPr="00156087">
        <w:rPr>
          <w:rFonts w:cstheme="minorHAnsi"/>
          <w:color w:val="000000" w:themeColor="text1"/>
          <w:lang w:val="en-US"/>
        </w:rPr>
        <w:t xml:space="preserve">more prone to offer analgesics to </w:t>
      </w:r>
      <w:r w:rsidR="0099785C" w:rsidRPr="00156087">
        <w:rPr>
          <w:rFonts w:cstheme="minorHAnsi"/>
          <w:color w:val="000000" w:themeColor="text1"/>
          <w:lang w:val="en-US"/>
        </w:rPr>
        <w:t>chronic</w:t>
      </w:r>
      <w:r w:rsidR="00E96324" w:rsidRPr="00156087">
        <w:rPr>
          <w:rFonts w:cstheme="minorHAnsi"/>
          <w:color w:val="000000" w:themeColor="text1"/>
          <w:lang w:val="en-US"/>
        </w:rPr>
        <w:t xml:space="preserve"> non-malignant</w:t>
      </w:r>
      <w:r w:rsidR="0099785C" w:rsidRPr="00156087">
        <w:rPr>
          <w:rFonts w:cstheme="minorHAnsi"/>
          <w:color w:val="000000" w:themeColor="text1"/>
          <w:lang w:val="en-US"/>
        </w:rPr>
        <w:t xml:space="preserve"> pain </w:t>
      </w:r>
      <w:r w:rsidR="00FC5C6D" w:rsidRPr="00156087">
        <w:rPr>
          <w:rFonts w:cstheme="minorHAnsi"/>
          <w:color w:val="000000" w:themeColor="text1"/>
          <w:lang w:val="en-US"/>
        </w:rPr>
        <w:t>in cancer survivors</w:t>
      </w:r>
      <w:r w:rsidR="004C69D0" w:rsidRPr="00156087">
        <w:rPr>
          <w:rFonts w:cstheme="minorHAnsi"/>
          <w:color w:val="000000" w:themeColor="text1"/>
          <w:lang w:val="en-US"/>
        </w:rPr>
        <w:t xml:space="preserve">. </w:t>
      </w:r>
      <w:r w:rsidR="0099785C" w:rsidRPr="00156087">
        <w:rPr>
          <w:rFonts w:cstheme="minorHAnsi"/>
          <w:color w:val="000000" w:themeColor="text1"/>
          <w:lang w:val="en-US"/>
        </w:rPr>
        <w:t>Al</w:t>
      </w:r>
      <w:r w:rsidR="0006647A" w:rsidRPr="00156087">
        <w:rPr>
          <w:rFonts w:cstheme="minorHAnsi"/>
          <w:color w:val="000000" w:themeColor="text1"/>
          <w:lang w:val="en-US"/>
        </w:rPr>
        <w:t>though this study d</w:t>
      </w:r>
      <w:r w:rsidR="0099785C" w:rsidRPr="00156087">
        <w:rPr>
          <w:rFonts w:cstheme="minorHAnsi"/>
          <w:color w:val="000000" w:themeColor="text1"/>
          <w:lang w:val="en-US"/>
        </w:rPr>
        <w:t>id</w:t>
      </w:r>
      <w:r w:rsidR="0006647A" w:rsidRPr="00156087">
        <w:rPr>
          <w:rFonts w:cstheme="minorHAnsi"/>
          <w:color w:val="000000" w:themeColor="text1"/>
          <w:lang w:val="en-US"/>
        </w:rPr>
        <w:t xml:space="preserve"> not include data on </w:t>
      </w:r>
      <w:r w:rsidR="0099785C" w:rsidRPr="00156087">
        <w:rPr>
          <w:rFonts w:cstheme="minorHAnsi"/>
          <w:color w:val="000000" w:themeColor="text1"/>
          <w:lang w:val="en-US"/>
        </w:rPr>
        <w:t>causes</w:t>
      </w:r>
      <w:r w:rsidR="0006647A" w:rsidRPr="00156087">
        <w:rPr>
          <w:rFonts w:cstheme="minorHAnsi"/>
          <w:color w:val="000000" w:themeColor="text1"/>
          <w:lang w:val="en-US"/>
        </w:rPr>
        <w:t xml:space="preserve"> </w:t>
      </w:r>
      <w:r w:rsidR="0099785C" w:rsidRPr="00156087">
        <w:rPr>
          <w:rFonts w:cstheme="minorHAnsi"/>
          <w:color w:val="000000" w:themeColor="text1"/>
          <w:lang w:val="en-US"/>
        </w:rPr>
        <w:t>of</w:t>
      </w:r>
      <w:r w:rsidR="0006647A" w:rsidRPr="00156087">
        <w:rPr>
          <w:rFonts w:cstheme="minorHAnsi"/>
          <w:color w:val="000000" w:themeColor="text1"/>
          <w:lang w:val="en-US"/>
        </w:rPr>
        <w:t xml:space="preserve"> </w:t>
      </w:r>
      <w:r w:rsidR="0099785C" w:rsidRPr="00156087">
        <w:rPr>
          <w:rFonts w:cstheme="minorHAnsi"/>
          <w:color w:val="000000" w:themeColor="text1"/>
          <w:lang w:val="en-US"/>
        </w:rPr>
        <w:t>chronic pain</w:t>
      </w:r>
      <w:r w:rsidR="004A049E" w:rsidRPr="00156087">
        <w:rPr>
          <w:rFonts w:cstheme="minorHAnsi"/>
          <w:color w:val="000000" w:themeColor="text1"/>
          <w:lang w:val="en-US"/>
        </w:rPr>
        <w:t>,</w:t>
      </w:r>
      <w:r w:rsidR="0099785C" w:rsidRPr="00156087">
        <w:rPr>
          <w:rFonts w:cstheme="minorHAnsi"/>
          <w:color w:val="000000" w:themeColor="text1"/>
          <w:lang w:val="en-US"/>
        </w:rPr>
        <w:t xml:space="preserve"> </w:t>
      </w:r>
      <w:r w:rsidR="0006647A" w:rsidRPr="00156087">
        <w:rPr>
          <w:rFonts w:cstheme="minorHAnsi"/>
          <w:color w:val="000000" w:themeColor="text1"/>
          <w:lang w:val="en-US"/>
        </w:rPr>
        <w:t xml:space="preserve">the </w:t>
      </w:r>
      <w:r w:rsidR="004A049E" w:rsidRPr="00156087">
        <w:rPr>
          <w:rFonts w:cstheme="minorHAnsi"/>
          <w:color w:val="000000" w:themeColor="text1"/>
          <w:lang w:val="en-US"/>
        </w:rPr>
        <w:t xml:space="preserve">increased </w:t>
      </w:r>
      <w:r w:rsidR="0006647A" w:rsidRPr="00156087">
        <w:rPr>
          <w:rFonts w:cstheme="minorHAnsi"/>
          <w:color w:val="000000" w:themeColor="text1"/>
          <w:lang w:val="en-US"/>
        </w:rPr>
        <w:t xml:space="preserve">consumption of gabapentinoids </w:t>
      </w:r>
      <w:r w:rsidR="0099785C" w:rsidRPr="00156087">
        <w:rPr>
          <w:rFonts w:cstheme="minorHAnsi"/>
          <w:color w:val="000000" w:themeColor="text1"/>
          <w:lang w:val="en-US"/>
        </w:rPr>
        <w:t xml:space="preserve">may </w:t>
      </w:r>
      <w:r w:rsidR="0006647A" w:rsidRPr="00156087">
        <w:rPr>
          <w:rFonts w:cstheme="minorHAnsi"/>
          <w:color w:val="000000" w:themeColor="text1"/>
          <w:lang w:val="en-US"/>
        </w:rPr>
        <w:t>indicate</w:t>
      </w:r>
      <w:r w:rsidR="0099785C" w:rsidRPr="00156087">
        <w:rPr>
          <w:rFonts w:cstheme="minorHAnsi"/>
          <w:color w:val="000000" w:themeColor="text1"/>
          <w:lang w:val="en-US"/>
        </w:rPr>
        <w:t xml:space="preserve"> </w:t>
      </w:r>
      <w:r w:rsidR="0006647A" w:rsidRPr="00156087">
        <w:rPr>
          <w:rFonts w:cstheme="minorHAnsi"/>
          <w:color w:val="000000" w:themeColor="text1"/>
          <w:lang w:val="en-US"/>
        </w:rPr>
        <w:t>a higher prevalence of neuropathic pain compared to the general population</w:t>
      </w:r>
      <w:r w:rsidR="0099785C" w:rsidRPr="00156087">
        <w:rPr>
          <w:rFonts w:cstheme="minorHAnsi"/>
          <w:color w:val="000000" w:themeColor="text1"/>
          <w:lang w:val="en-US"/>
        </w:rPr>
        <w:t xml:space="preserve">. </w:t>
      </w:r>
      <w:r w:rsidR="006C3713" w:rsidRPr="00156087">
        <w:rPr>
          <w:rFonts w:cstheme="minorHAnsi"/>
          <w:color w:val="000000" w:themeColor="text1"/>
          <w:lang w:val="en-US"/>
        </w:rPr>
        <w:t>In turn</w:t>
      </w:r>
      <w:r w:rsidR="0099785C" w:rsidRPr="00156087">
        <w:rPr>
          <w:rFonts w:cstheme="minorHAnsi"/>
          <w:color w:val="000000" w:themeColor="text1"/>
          <w:lang w:val="en-US"/>
        </w:rPr>
        <w:t xml:space="preserve">, </w:t>
      </w:r>
      <w:r w:rsidR="0006647A" w:rsidRPr="00156087">
        <w:rPr>
          <w:rFonts w:cstheme="minorHAnsi"/>
          <w:color w:val="000000" w:themeColor="text1"/>
          <w:lang w:val="en-US"/>
        </w:rPr>
        <w:t xml:space="preserve">higher prevalence of neuropathic pain may </w:t>
      </w:r>
      <w:r w:rsidR="006C3713" w:rsidRPr="00156087">
        <w:rPr>
          <w:rFonts w:cstheme="minorHAnsi"/>
          <w:color w:val="000000" w:themeColor="text1"/>
          <w:lang w:val="en-US"/>
        </w:rPr>
        <w:t xml:space="preserve">certainly </w:t>
      </w:r>
      <w:r w:rsidR="0006647A" w:rsidRPr="00156087">
        <w:rPr>
          <w:rFonts w:cstheme="minorHAnsi"/>
          <w:color w:val="000000" w:themeColor="text1"/>
          <w:lang w:val="en-US"/>
        </w:rPr>
        <w:t xml:space="preserve">also be the reason for the higher prevalence of persistent opioid use. </w:t>
      </w:r>
      <w:r w:rsidR="00410E8B" w:rsidRPr="00156087">
        <w:rPr>
          <w:rFonts w:cstheme="minorHAnsi"/>
          <w:color w:val="000000" w:themeColor="text1"/>
          <w:lang w:val="en-US"/>
        </w:rPr>
        <w:t>B</w:t>
      </w:r>
      <w:r w:rsidR="004A049E" w:rsidRPr="00156087">
        <w:rPr>
          <w:rFonts w:cstheme="minorHAnsi"/>
          <w:color w:val="000000" w:themeColor="text1"/>
          <w:lang w:val="en-US"/>
        </w:rPr>
        <w:t xml:space="preserve">ecause 12% of the study population were survivors after tumors </w:t>
      </w:r>
      <w:r w:rsidR="0022098D" w:rsidRPr="00156087">
        <w:rPr>
          <w:rFonts w:cstheme="minorHAnsi"/>
          <w:color w:val="000000" w:themeColor="text1"/>
          <w:lang w:val="en-US"/>
        </w:rPr>
        <w:t>of the central nervous sy</w:t>
      </w:r>
      <w:r w:rsidR="001A35BB" w:rsidRPr="00156087">
        <w:rPr>
          <w:rFonts w:cstheme="minorHAnsi"/>
          <w:color w:val="000000" w:themeColor="text1"/>
          <w:lang w:val="en-US"/>
        </w:rPr>
        <w:t>s</w:t>
      </w:r>
      <w:r w:rsidR="0022098D" w:rsidRPr="00156087">
        <w:rPr>
          <w:rFonts w:cstheme="minorHAnsi"/>
          <w:color w:val="000000" w:themeColor="text1"/>
          <w:lang w:val="en-US"/>
        </w:rPr>
        <w:t xml:space="preserve">tem </w:t>
      </w:r>
      <w:r w:rsidR="004A049E" w:rsidRPr="00156087">
        <w:rPr>
          <w:rFonts w:cstheme="minorHAnsi"/>
          <w:color w:val="000000" w:themeColor="text1"/>
          <w:lang w:val="en-US"/>
        </w:rPr>
        <w:t xml:space="preserve">which </w:t>
      </w:r>
      <w:r w:rsidR="001A35BB" w:rsidRPr="00156087">
        <w:rPr>
          <w:rFonts w:cstheme="minorHAnsi"/>
          <w:color w:val="000000" w:themeColor="text1"/>
          <w:lang w:val="en-US"/>
        </w:rPr>
        <w:t xml:space="preserve">has </w:t>
      </w:r>
      <w:r w:rsidR="004A049E" w:rsidRPr="00156087">
        <w:rPr>
          <w:rFonts w:cstheme="minorHAnsi"/>
          <w:color w:val="000000" w:themeColor="text1"/>
          <w:lang w:val="en-US"/>
        </w:rPr>
        <w:t xml:space="preserve">epilepsy as a known complication </w:t>
      </w:r>
      <w:r w:rsidR="00553C26">
        <w:rPr>
          <w:rFonts w:cstheme="minorHAnsi"/>
          <w:noProof/>
          <w:color w:val="000000" w:themeColor="text1"/>
          <w:lang w:val="en-US"/>
        </w:rPr>
        <w:t>[45]</w:t>
      </w:r>
      <w:r w:rsidR="0022098D" w:rsidRPr="00156087">
        <w:rPr>
          <w:rFonts w:cstheme="minorHAnsi"/>
          <w:color w:val="000000" w:themeColor="text1"/>
          <w:lang w:val="en-US"/>
        </w:rPr>
        <w:t xml:space="preserve">, </w:t>
      </w:r>
      <w:r w:rsidR="004A049E" w:rsidRPr="00156087">
        <w:rPr>
          <w:rFonts w:cstheme="minorHAnsi"/>
          <w:color w:val="000000" w:themeColor="text1"/>
          <w:lang w:val="en-US"/>
        </w:rPr>
        <w:t xml:space="preserve">it is possible that some patients received gabapentinoids as an </w:t>
      </w:r>
      <w:r w:rsidR="001A35BB" w:rsidRPr="00156087">
        <w:rPr>
          <w:rFonts w:cstheme="minorHAnsi"/>
          <w:color w:val="000000" w:themeColor="text1"/>
          <w:lang w:val="en-US"/>
        </w:rPr>
        <w:t>anti</w:t>
      </w:r>
      <w:r w:rsidR="004A049E" w:rsidRPr="00156087">
        <w:rPr>
          <w:rFonts w:cstheme="minorHAnsi"/>
          <w:color w:val="000000" w:themeColor="text1"/>
          <w:lang w:val="en-US"/>
        </w:rPr>
        <w:t>epileptic</w:t>
      </w:r>
      <w:r w:rsidR="00DA590B" w:rsidRPr="00156087">
        <w:rPr>
          <w:rFonts w:cstheme="minorHAnsi"/>
          <w:color w:val="000000" w:themeColor="text1"/>
          <w:lang w:val="en-US"/>
        </w:rPr>
        <w:t xml:space="preserve"> and</w:t>
      </w:r>
      <w:r w:rsidR="004A049E" w:rsidRPr="00156087">
        <w:rPr>
          <w:rFonts w:cstheme="minorHAnsi"/>
          <w:color w:val="000000" w:themeColor="text1"/>
          <w:lang w:val="en-US"/>
        </w:rPr>
        <w:t xml:space="preserve"> not as an analgesic.</w:t>
      </w:r>
      <w:r w:rsidR="00B845E8" w:rsidRPr="00156087">
        <w:rPr>
          <w:rFonts w:cstheme="minorHAnsi"/>
          <w:color w:val="000000" w:themeColor="text1"/>
          <w:lang w:val="en-US"/>
        </w:rPr>
        <w:t xml:space="preserve"> However, reimbursement codes (data not presented) indicated that only two patients in the study population received gabapentinoids for treatment of epilepsy. </w:t>
      </w:r>
      <w:r w:rsidR="004A049E" w:rsidRPr="00156087">
        <w:rPr>
          <w:rFonts w:cstheme="minorHAnsi"/>
          <w:color w:val="000000" w:themeColor="text1"/>
          <w:lang w:val="en-US"/>
        </w:rPr>
        <w:t xml:space="preserve"> </w:t>
      </w:r>
    </w:p>
    <w:p w14:paraId="7AA355C9" w14:textId="77777777" w:rsidR="008D6F82" w:rsidRPr="00156087" w:rsidRDefault="008D6F82" w:rsidP="008D6F82">
      <w:pPr>
        <w:spacing w:after="0" w:line="360" w:lineRule="auto"/>
        <w:rPr>
          <w:rFonts w:cstheme="minorHAnsi"/>
          <w:color w:val="000000" w:themeColor="text1"/>
          <w:lang w:val="en-US"/>
        </w:rPr>
      </w:pPr>
    </w:p>
    <w:p w14:paraId="54BD4F10" w14:textId="47E3DCF3" w:rsidR="00986211" w:rsidRPr="00156087" w:rsidRDefault="00346164" w:rsidP="008D6F82">
      <w:pPr>
        <w:spacing w:after="0" w:line="360" w:lineRule="auto"/>
        <w:rPr>
          <w:rFonts w:cstheme="minorHAnsi"/>
          <w:color w:val="000000" w:themeColor="text1"/>
          <w:lang w:val="en-US"/>
        </w:rPr>
      </w:pPr>
      <w:r w:rsidRPr="00156087">
        <w:rPr>
          <w:rFonts w:cstheme="minorHAnsi"/>
          <w:color w:val="000000" w:themeColor="text1"/>
          <w:lang w:val="en-US"/>
        </w:rPr>
        <w:t xml:space="preserve">Our research group has recently studied analgesic consumption in </w:t>
      </w:r>
      <w:bookmarkStart w:id="4" w:name="_Hlk536601653"/>
      <w:r w:rsidRPr="00156087">
        <w:rPr>
          <w:rFonts w:cstheme="minorHAnsi"/>
          <w:color w:val="000000" w:themeColor="text1"/>
          <w:lang w:val="en-US"/>
        </w:rPr>
        <w:t xml:space="preserve">adult cancer survivors </w:t>
      </w:r>
      <w:bookmarkEnd w:id="4"/>
      <w:r w:rsidRPr="00156087">
        <w:rPr>
          <w:rFonts w:cstheme="minorHAnsi"/>
          <w:color w:val="000000" w:themeColor="text1"/>
          <w:lang w:val="en-US"/>
        </w:rPr>
        <w:t xml:space="preserve">in a population-based study in Norway using the same registers as in the present study </w:t>
      </w:r>
      <w:r w:rsidR="00553C26">
        <w:rPr>
          <w:rFonts w:cstheme="minorHAnsi"/>
          <w:noProof/>
          <w:color w:val="000000" w:themeColor="text1"/>
          <w:lang w:val="en-US"/>
        </w:rPr>
        <w:t>[15]</w:t>
      </w:r>
      <w:r w:rsidRPr="00156087">
        <w:rPr>
          <w:rFonts w:cstheme="minorHAnsi"/>
          <w:color w:val="000000" w:themeColor="text1"/>
          <w:lang w:val="en-US"/>
        </w:rPr>
        <w:t xml:space="preserve">. </w:t>
      </w:r>
      <w:r w:rsidR="00FC5C6D" w:rsidRPr="00156087">
        <w:rPr>
          <w:rFonts w:cstheme="minorHAnsi"/>
          <w:color w:val="000000" w:themeColor="text1"/>
          <w:lang w:val="en-US"/>
        </w:rPr>
        <w:t xml:space="preserve">Although consumption of analgesics in adult long-term survivors of cancer in CAEA is moderately increased compared to the general population, the consumption is substantially lower than in survivors of adult cancers. </w:t>
      </w:r>
      <w:r w:rsidR="00986211" w:rsidRPr="00156087">
        <w:rPr>
          <w:rFonts w:cstheme="minorHAnsi"/>
          <w:color w:val="000000" w:themeColor="text1"/>
          <w:lang w:val="en-US"/>
        </w:rPr>
        <w:t xml:space="preserve">Chronic pain due to either </w:t>
      </w:r>
      <w:r w:rsidR="00FC5C6D" w:rsidRPr="00156087">
        <w:rPr>
          <w:rFonts w:cstheme="minorHAnsi"/>
          <w:color w:val="000000" w:themeColor="text1"/>
          <w:lang w:val="en-US"/>
        </w:rPr>
        <w:t xml:space="preserve">cancer </w:t>
      </w:r>
      <w:r w:rsidR="00986211" w:rsidRPr="00156087">
        <w:rPr>
          <w:rFonts w:cstheme="minorHAnsi"/>
          <w:color w:val="000000" w:themeColor="text1"/>
          <w:lang w:val="en-US"/>
        </w:rPr>
        <w:t xml:space="preserve">surgery, radiotherapy or chemotherapy </w:t>
      </w:r>
      <w:r w:rsidRPr="00156087">
        <w:rPr>
          <w:rFonts w:cstheme="minorHAnsi"/>
          <w:color w:val="000000" w:themeColor="text1"/>
          <w:lang w:val="en-US"/>
        </w:rPr>
        <w:t>may be more</w:t>
      </w:r>
      <w:r w:rsidR="00986211" w:rsidRPr="00156087">
        <w:rPr>
          <w:rFonts w:cstheme="minorHAnsi"/>
          <w:color w:val="000000" w:themeColor="text1"/>
          <w:lang w:val="en-US"/>
        </w:rPr>
        <w:t xml:space="preserve"> </w:t>
      </w:r>
      <w:r w:rsidRPr="00156087">
        <w:rPr>
          <w:rFonts w:cstheme="minorHAnsi"/>
          <w:color w:val="000000" w:themeColor="text1"/>
          <w:lang w:val="en-US"/>
        </w:rPr>
        <w:t xml:space="preserve">severe and </w:t>
      </w:r>
      <w:r w:rsidR="00986211" w:rsidRPr="00156087">
        <w:rPr>
          <w:rFonts w:cstheme="minorHAnsi"/>
          <w:color w:val="000000" w:themeColor="text1"/>
          <w:lang w:val="en-US"/>
        </w:rPr>
        <w:t xml:space="preserve">prevalent in long-term </w:t>
      </w:r>
      <w:r w:rsidR="0006647A" w:rsidRPr="00156087">
        <w:rPr>
          <w:rFonts w:cstheme="minorHAnsi"/>
          <w:color w:val="000000" w:themeColor="text1"/>
          <w:lang w:val="en-US"/>
        </w:rPr>
        <w:t xml:space="preserve">survivors of </w:t>
      </w:r>
      <w:r w:rsidR="00986211" w:rsidRPr="00156087">
        <w:rPr>
          <w:rFonts w:cstheme="minorHAnsi"/>
          <w:color w:val="000000" w:themeColor="text1"/>
          <w:lang w:val="en-US"/>
        </w:rPr>
        <w:t xml:space="preserve">cancer </w:t>
      </w:r>
      <w:r w:rsidR="0006647A" w:rsidRPr="00156087">
        <w:rPr>
          <w:rFonts w:cstheme="minorHAnsi"/>
          <w:color w:val="000000" w:themeColor="text1"/>
          <w:lang w:val="en-US"/>
        </w:rPr>
        <w:t xml:space="preserve">in adult life compared to adult </w:t>
      </w:r>
      <w:r w:rsidR="00986211" w:rsidRPr="00156087">
        <w:rPr>
          <w:rFonts w:cstheme="minorHAnsi"/>
          <w:color w:val="000000" w:themeColor="text1"/>
          <w:lang w:val="en-US"/>
        </w:rPr>
        <w:t>survivors</w:t>
      </w:r>
      <w:r w:rsidRPr="00156087">
        <w:rPr>
          <w:rFonts w:cstheme="minorHAnsi"/>
          <w:color w:val="000000" w:themeColor="text1"/>
          <w:lang w:val="en-US"/>
        </w:rPr>
        <w:t xml:space="preserve"> </w:t>
      </w:r>
      <w:bookmarkStart w:id="5" w:name="_Hlk536601549"/>
      <w:r w:rsidR="0006647A" w:rsidRPr="00156087">
        <w:rPr>
          <w:rFonts w:cstheme="minorHAnsi"/>
          <w:color w:val="000000" w:themeColor="text1"/>
          <w:lang w:val="en-US"/>
        </w:rPr>
        <w:t xml:space="preserve">of cancer in </w:t>
      </w:r>
      <w:bookmarkEnd w:id="5"/>
      <w:r w:rsidR="00690522" w:rsidRPr="00156087">
        <w:rPr>
          <w:rFonts w:cstheme="minorHAnsi"/>
          <w:color w:val="000000" w:themeColor="text1"/>
          <w:lang w:val="en-US"/>
        </w:rPr>
        <w:t>CAEA</w:t>
      </w:r>
      <w:r w:rsidRPr="00156087">
        <w:rPr>
          <w:rFonts w:cstheme="minorHAnsi"/>
          <w:color w:val="000000" w:themeColor="text1"/>
          <w:lang w:val="en-US"/>
        </w:rPr>
        <w:t xml:space="preserve">. </w:t>
      </w:r>
      <w:r w:rsidR="00D15F33" w:rsidRPr="00156087">
        <w:rPr>
          <w:rFonts w:cstheme="minorHAnsi"/>
          <w:color w:val="000000" w:themeColor="text1"/>
          <w:lang w:val="en-US"/>
        </w:rPr>
        <w:t xml:space="preserve">It can be speculated that reasons may include </w:t>
      </w:r>
      <w:r w:rsidRPr="00156087">
        <w:rPr>
          <w:rFonts w:cstheme="minorHAnsi"/>
          <w:color w:val="000000" w:themeColor="text1"/>
          <w:lang w:val="en-US"/>
        </w:rPr>
        <w:t>different anti-cancer therapies and time since therapies, pronounced neuroplasticity in children,</w:t>
      </w:r>
      <w:r w:rsidR="00D15F33" w:rsidRPr="00156087">
        <w:rPr>
          <w:rFonts w:cstheme="minorHAnsi"/>
          <w:color w:val="000000" w:themeColor="text1"/>
          <w:lang w:val="en-US"/>
        </w:rPr>
        <w:t xml:space="preserve"> and</w:t>
      </w:r>
      <w:r w:rsidRPr="00156087">
        <w:rPr>
          <w:rFonts w:cstheme="minorHAnsi"/>
          <w:color w:val="000000" w:themeColor="text1"/>
          <w:lang w:val="en-US"/>
        </w:rPr>
        <w:t xml:space="preserve"> psychological, social and existential issues</w:t>
      </w:r>
      <w:r w:rsidR="00835EA7" w:rsidRPr="00156087">
        <w:rPr>
          <w:rFonts w:cstheme="minorHAnsi"/>
          <w:color w:val="000000" w:themeColor="text1"/>
          <w:lang w:val="en-US"/>
        </w:rPr>
        <w:t xml:space="preserve"> </w:t>
      </w:r>
      <w:r w:rsidR="00835EA7" w:rsidRPr="00156087">
        <w:rPr>
          <w:rFonts w:cstheme="minorHAnsi"/>
          <w:color w:val="000000" w:themeColor="text1"/>
          <w:lang w:val="en-US"/>
        </w:rPr>
        <w:lastRenderedPageBreak/>
        <w:t xml:space="preserve">related to </w:t>
      </w:r>
      <w:r w:rsidR="00DA590B" w:rsidRPr="00156087">
        <w:rPr>
          <w:rFonts w:cstheme="minorHAnsi"/>
          <w:color w:val="000000" w:themeColor="text1"/>
          <w:lang w:val="en-US"/>
        </w:rPr>
        <w:t xml:space="preserve">age and </w:t>
      </w:r>
      <w:r w:rsidR="00835EA7" w:rsidRPr="00156087">
        <w:rPr>
          <w:rFonts w:cstheme="minorHAnsi"/>
          <w:color w:val="000000" w:themeColor="text1"/>
          <w:lang w:val="en-US"/>
        </w:rPr>
        <w:t>maturity.</w:t>
      </w:r>
      <w:r w:rsidRPr="00156087">
        <w:rPr>
          <w:rFonts w:cstheme="minorHAnsi"/>
          <w:color w:val="000000" w:themeColor="text1"/>
          <w:lang w:val="en-US"/>
        </w:rPr>
        <w:t xml:space="preserve"> </w:t>
      </w:r>
      <w:r w:rsidR="00FC5C6D" w:rsidRPr="00156087">
        <w:rPr>
          <w:rFonts w:cstheme="minorHAnsi"/>
          <w:color w:val="000000" w:themeColor="text1"/>
          <w:lang w:val="en-US"/>
        </w:rPr>
        <w:t>The difference in opioid use between long-t</w:t>
      </w:r>
      <w:r w:rsidR="00196AE0" w:rsidRPr="00156087">
        <w:rPr>
          <w:rFonts w:cstheme="minorHAnsi"/>
          <w:color w:val="000000" w:themeColor="text1"/>
          <w:lang w:val="en-US"/>
        </w:rPr>
        <w:t>erm</w:t>
      </w:r>
      <w:r w:rsidR="00DA590B" w:rsidRPr="00156087">
        <w:rPr>
          <w:rFonts w:cstheme="minorHAnsi"/>
          <w:color w:val="000000" w:themeColor="text1"/>
          <w:lang w:val="en-US"/>
        </w:rPr>
        <w:t xml:space="preserve"> survivors</w:t>
      </w:r>
      <w:r w:rsidR="00FC5C6D" w:rsidRPr="00156087">
        <w:rPr>
          <w:rFonts w:cstheme="minorHAnsi"/>
          <w:color w:val="000000" w:themeColor="text1"/>
          <w:lang w:val="en-US"/>
        </w:rPr>
        <w:t xml:space="preserve"> of cancer in CAEA and adulthood indicates that </w:t>
      </w:r>
      <w:r w:rsidR="00835EA7" w:rsidRPr="00156087">
        <w:rPr>
          <w:rFonts w:cstheme="minorHAnsi"/>
          <w:color w:val="000000" w:themeColor="text1"/>
          <w:lang w:val="en-US"/>
        </w:rPr>
        <w:t xml:space="preserve">the latter group </w:t>
      </w:r>
      <w:r w:rsidR="00D15F33" w:rsidRPr="00156087">
        <w:rPr>
          <w:rFonts w:cstheme="minorHAnsi"/>
          <w:color w:val="000000" w:themeColor="text1"/>
          <w:lang w:val="en-US"/>
        </w:rPr>
        <w:t xml:space="preserve">either has a higher prevalence of </w:t>
      </w:r>
      <w:r w:rsidR="00835EA7" w:rsidRPr="00156087">
        <w:rPr>
          <w:rFonts w:cstheme="minorHAnsi"/>
          <w:color w:val="000000" w:themeColor="text1"/>
          <w:lang w:val="en-US"/>
        </w:rPr>
        <w:t>sequelae including chronic pain</w:t>
      </w:r>
      <w:r w:rsidR="00D15F33" w:rsidRPr="00156087">
        <w:rPr>
          <w:rFonts w:cstheme="minorHAnsi"/>
          <w:color w:val="000000" w:themeColor="text1"/>
          <w:lang w:val="en-US"/>
        </w:rPr>
        <w:t xml:space="preserve">, or </w:t>
      </w:r>
      <w:r w:rsidR="00DA590B" w:rsidRPr="00156087">
        <w:rPr>
          <w:rFonts w:cstheme="minorHAnsi"/>
          <w:color w:val="000000" w:themeColor="text1"/>
          <w:lang w:val="en-US"/>
        </w:rPr>
        <w:t>is</w:t>
      </w:r>
      <w:r w:rsidR="00D15F33" w:rsidRPr="00156087">
        <w:rPr>
          <w:rFonts w:cstheme="minorHAnsi"/>
          <w:color w:val="000000" w:themeColor="text1"/>
          <w:lang w:val="en-US"/>
        </w:rPr>
        <w:t xml:space="preserve"> </w:t>
      </w:r>
      <w:r w:rsidR="00675C01" w:rsidRPr="00156087">
        <w:rPr>
          <w:rFonts w:cstheme="minorHAnsi"/>
          <w:color w:val="000000" w:themeColor="text1"/>
          <w:lang w:val="en-US"/>
        </w:rPr>
        <w:t>more prone to use opioids for pain irrespective of pain mec</w:t>
      </w:r>
      <w:r w:rsidR="006C3713" w:rsidRPr="00156087">
        <w:rPr>
          <w:rFonts w:cstheme="minorHAnsi"/>
          <w:color w:val="000000" w:themeColor="text1"/>
          <w:lang w:val="en-US"/>
        </w:rPr>
        <w:t>h</w:t>
      </w:r>
      <w:r w:rsidR="00675C01" w:rsidRPr="00156087">
        <w:rPr>
          <w:rFonts w:cstheme="minorHAnsi"/>
          <w:color w:val="000000" w:themeColor="text1"/>
          <w:lang w:val="en-US"/>
        </w:rPr>
        <w:t>anism</w:t>
      </w:r>
      <w:r w:rsidR="006C3713" w:rsidRPr="00156087">
        <w:rPr>
          <w:rFonts w:cstheme="minorHAnsi"/>
          <w:color w:val="000000" w:themeColor="text1"/>
          <w:lang w:val="en-US"/>
        </w:rPr>
        <w:t>s</w:t>
      </w:r>
      <w:r w:rsidR="00FC5C6D" w:rsidRPr="00156087">
        <w:rPr>
          <w:rFonts w:cstheme="minorHAnsi"/>
          <w:color w:val="000000" w:themeColor="text1"/>
          <w:lang w:val="en-US"/>
        </w:rPr>
        <w:t>,</w:t>
      </w:r>
      <w:r w:rsidR="001843FD" w:rsidRPr="00156087">
        <w:rPr>
          <w:rFonts w:cstheme="minorHAnsi"/>
          <w:color w:val="000000" w:themeColor="text1"/>
          <w:lang w:val="en-US"/>
        </w:rPr>
        <w:t xml:space="preserve"> or has an increased prevalence of problematic opioid use and/or addict</w:t>
      </w:r>
      <w:r w:rsidR="00595424" w:rsidRPr="00156087">
        <w:rPr>
          <w:rFonts w:cstheme="minorHAnsi"/>
          <w:color w:val="000000" w:themeColor="text1"/>
          <w:lang w:val="en-US"/>
        </w:rPr>
        <w:t>ive behavior</w:t>
      </w:r>
      <w:r w:rsidR="00835EA7" w:rsidRPr="00156087">
        <w:rPr>
          <w:rFonts w:cstheme="minorHAnsi"/>
          <w:color w:val="000000" w:themeColor="text1"/>
          <w:lang w:val="en-US"/>
        </w:rPr>
        <w:t xml:space="preserve">.   </w:t>
      </w:r>
      <w:r w:rsidRPr="00156087">
        <w:rPr>
          <w:rFonts w:cstheme="minorHAnsi"/>
          <w:color w:val="000000" w:themeColor="text1"/>
          <w:lang w:val="en-US"/>
        </w:rPr>
        <w:t xml:space="preserve"> </w:t>
      </w:r>
    </w:p>
    <w:p w14:paraId="42405BC4" w14:textId="080D4B0C" w:rsidR="002B7F16" w:rsidRPr="00156087" w:rsidRDefault="002B7F16" w:rsidP="008D6F82">
      <w:pPr>
        <w:spacing w:after="0" w:line="360" w:lineRule="auto"/>
        <w:rPr>
          <w:rFonts w:cstheme="minorHAnsi"/>
          <w:color w:val="000000" w:themeColor="text1"/>
          <w:lang w:val="en-US"/>
        </w:rPr>
      </w:pPr>
    </w:p>
    <w:p w14:paraId="245F6331" w14:textId="1E29C6FB" w:rsidR="008D6F82" w:rsidRPr="00156087" w:rsidRDefault="002B7F16" w:rsidP="008D6F82">
      <w:pPr>
        <w:spacing w:after="0" w:line="360" w:lineRule="auto"/>
        <w:rPr>
          <w:rFonts w:cstheme="minorHAnsi"/>
          <w:color w:val="000000" w:themeColor="text1"/>
          <w:lang w:val="en-US"/>
        </w:rPr>
      </w:pPr>
      <w:r w:rsidRPr="00156087">
        <w:rPr>
          <w:rFonts w:cstheme="minorHAnsi"/>
          <w:color w:val="000000" w:themeColor="text1"/>
          <w:lang w:val="en-US"/>
        </w:rPr>
        <w:t>The findings in the present study should be interpreted in light of the overall prescription pattern of opioids in Norway</w:t>
      </w:r>
      <w:r w:rsidR="00196AE0" w:rsidRPr="00156087">
        <w:rPr>
          <w:rFonts w:cstheme="minorHAnsi"/>
          <w:color w:val="000000" w:themeColor="text1"/>
          <w:lang w:val="en-US"/>
        </w:rPr>
        <w:t>,</w:t>
      </w:r>
      <w:r w:rsidRPr="00156087">
        <w:rPr>
          <w:rFonts w:cstheme="minorHAnsi"/>
          <w:color w:val="000000" w:themeColor="text1"/>
          <w:lang w:val="en-US"/>
        </w:rPr>
        <w:t xml:space="preserve"> where the one-year period prevalence of receiving opioids is 1</w:t>
      </w:r>
      <w:r w:rsidR="00B14874" w:rsidRPr="00156087">
        <w:rPr>
          <w:rFonts w:cstheme="minorHAnsi"/>
          <w:color w:val="000000" w:themeColor="text1"/>
          <w:lang w:val="en-US"/>
        </w:rPr>
        <w:t>3</w:t>
      </w:r>
      <w:r w:rsidRPr="00156087">
        <w:rPr>
          <w:rFonts w:cstheme="minorHAnsi"/>
          <w:color w:val="000000" w:themeColor="text1"/>
          <w:lang w:val="en-US"/>
        </w:rPr>
        <w:t xml:space="preserve"> % in the adult population and 1% are persistent opioid users according to a wide definition </w:t>
      </w:r>
      <w:r w:rsidR="00553C26">
        <w:rPr>
          <w:rFonts w:cstheme="minorHAnsi"/>
          <w:noProof/>
          <w:color w:val="000000" w:themeColor="text1"/>
          <w:lang w:val="en-US"/>
        </w:rPr>
        <w:t>[14;44]</w:t>
      </w:r>
      <w:r w:rsidRPr="00156087">
        <w:rPr>
          <w:rFonts w:cstheme="minorHAnsi"/>
          <w:color w:val="000000" w:themeColor="text1"/>
          <w:lang w:val="en-US"/>
        </w:rPr>
        <w:t xml:space="preserve">. The rate of opioid-related deaths has the last ten years been stable at 8 to 9 per 100 000 in the age group 15 to 64 years (https://www.fhi.no/nyheter/2018/nakotikautloste-dodsfall-2017/). </w:t>
      </w:r>
      <w:r w:rsidR="004D7C8E" w:rsidRPr="00156087">
        <w:rPr>
          <w:rFonts w:cstheme="minorHAnsi"/>
          <w:color w:val="000000" w:themeColor="text1"/>
          <w:lang w:val="en-US"/>
        </w:rPr>
        <w:t>Both t</w:t>
      </w:r>
      <w:r w:rsidRPr="00156087">
        <w:rPr>
          <w:rFonts w:cstheme="minorHAnsi"/>
          <w:color w:val="000000" w:themeColor="text1"/>
          <w:lang w:val="en-US"/>
        </w:rPr>
        <w:t xml:space="preserve">hese </w:t>
      </w:r>
      <w:proofErr w:type="spellStart"/>
      <w:r w:rsidR="004D7C8E" w:rsidRPr="00156087">
        <w:rPr>
          <w:rFonts w:cstheme="minorHAnsi"/>
          <w:color w:val="000000" w:themeColor="text1"/>
          <w:lang w:val="en-US"/>
        </w:rPr>
        <w:t>prevalences</w:t>
      </w:r>
      <w:proofErr w:type="spellEnd"/>
      <w:r w:rsidRPr="00156087">
        <w:rPr>
          <w:rFonts w:cstheme="minorHAnsi"/>
          <w:color w:val="000000" w:themeColor="text1"/>
          <w:lang w:val="en-US"/>
        </w:rPr>
        <w:t xml:space="preserve"> and death rates are substantially lower than in North-America</w:t>
      </w:r>
      <w:r w:rsidR="00960F78" w:rsidRPr="00156087">
        <w:rPr>
          <w:rFonts w:cstheme="minorHAnsi"/>
          <w:color w:val="000000" w:themeColor="text1"/>
          <w:lang w:val="en-US"/>
        </w:rPr>
        <w:t xml:space="preserve"> </w:t>
      </w:r>
      <w:r w:rsidR="00553C26">
        <w:rPr>
          <w:rFonts w:cstheme="minorHAnsi"/>
          <w:noProof/>
          <w:color w:val="000000" w:themeColor="text1"/>
          <w:lang w:val="en-US"/>
        </w:rPr>
        <w:t>[25]</w:t>
      </w:r>
      <w:r w:rsidRPr="00156087">
        <w:rPr>
          <w:rFonts w:cstheme="minorHAnsi"/>
          <w:color w:val="000000" w:themeColor="text1"/>
          <w:lang w:val="en-US"/>
        </w:rPr>
        <w:t xml:space="preserve">. </w:t>
      </w:r>
    </w:p>
    <w:p w14:paraId="727AF62C" w14:textId="77777777" w:rsidR="00415429" w:rsidRPr="00156087" w:rsidRDefault="00415429" w:rsidP="008D6F82">
      <w:pPr>
        <w:spacing w:after="0" w:line="360" w:lineRule="auto"/>
        <w:rPr>
          <w:rFonts w:cstheme="minorHAnsi"/>
          <w:color w:val="000000" w:themeColor="text1"/>
          <w:lang w:val="en-US"/>
        </w:rPr>
      </w:pPr>
    </w:p>
    <w:p w14:paraId="41CCD2DE" w14:textId="6C229789" w:rsidR="00D15F33" w:rsidRPr="00156087" w:rsidRDefault="00434D38" w:rsidP="008D6F82">
      <w:pPr>
        <w:spacing w:after="0" w:line="360" w:lineRule="auto"/>
        <w:rPr>
          <w:rFonts w:cstheme="minorHAnsi"/>
          <w:color w:val="000000" w:themeColor="text1"/>
          <w:lang w:val="en-US"/>
        </w:rPr>
      </w:pPr>
      <w:r w:rsidRPr="00434D38">
        <w:rPr>
          <w:rFonts w:cstheme="minorHAnsi"/>
          <w:color w:val="FF0000"/>
          <w:lang w:val="en-US"/>
        </w:rPr>
        <w:t xml:space="preserve">In chronic non-malignant pain the use of opioids </w:t>
      </w:r>
      <w:bookmarkStart w:id="6" w:name="_GoBack"/>
      <w:bookmarkEnd w:id="6"/>
      <w:r w:rsidR="00720919" w:rsidRPr="00434D38">
        <w:rPr>
          <w:rFonts w:cstheme="minorHAnsi"/>
          <w:color w:val="FF0000"/>
          <w:lang w:val="en-US"/>
        </w:rPr>
        <w:t>has</w:t>
      </w:r>
      <w:r w:rsidRPr="00434D38">
        <w:rPr>
          <w:rFonts w:cstheme="minorHAnsi"/>
          <w:color w:val="FF0000"/>
          <w:lang w:val="en-US"/>
        </w:rPr>
        <w:t xml:space="preserve"> been associated with higher levels of pain, poor functional status and reduced quality of life [10]. Furthermore,</w:t>
      </w:r>
      <w:r>
        <w:rPr>
          <w:rFonts w:cstheme="minorHAnsi"/>
          <w:color w:val="000000" w:themeColor="text1"/>
          <w:lang w:val="en-US"/>
        </w:rPr>
        <w:t xml:space="preserve"> p</w:t>
      </w:r>
      <w:r w:rsidR="008D7D15" w:rsidRPr="00156087">
        <w:rPr>
          <w:rFonts w:cstheme="minorHAnsi"/>
          <w:color w:val="000000" w:themeColor="text1"/>
          <w:lang w:val="en-US"/>
        </w:rPr>
        <w:t xml:space="preserve">ersistent and high dose opioid </w:t>
      </w:r>
      <w:r w:rsidR="00296FC7" w:rsidRPr="00156087">
        <w:rPr>
          <w:rFonts w:cstheme="minorHAnsi"/>
          <w:color w:val="000000" w:themeColor="text1"/>
          <w:lang w:val="en-US"/>
        </w:rPr>
        <w:t xml:space="preserve">use </w:t>
      </w:r>
      <w:r w:rsidR="00FC5C6D" w:rsidRPr="00156087">
        <w:rPr>
          <w:rFonts w:cstheme="minorHAnsi"/>
          <w:color w:val="000000" w:themeColor="text1"/>
          <w:lang w:val="en-US"/>
        </w:rPr>
        <w:t xml:space="preserve">for </w:t>
      </w:r>
      <w:r w:rsidR="00296FC7" w:rsidRPr="00156087">
        <w:rPr>
          <w:rFonts w:cstheme="minorHAnsi"/>
          <w:color w:val="000000" w:themeColor="text1"/>
          <w:lang w:val="en-US"/>
        </w:rPr>
        <w:t>non-</w:t>
      </w:r>
      <w:r w:rsidR="00FC5C6D" w:rsidRPr="00156087">
        <w:rPr>
          <w:rFonts w:cstheme="minorHAnsi"/>
          <w:color w:val="000000" w:themeColor="text1"/>
          <w:lang w:val="en-US"/>
        </w:rPr>
        <w:t>malignant</w:t>
      </w:r>
      <w:r w:rsidR="00296FC7" w:rsidRPr="00156087">
        <w:rPr>
          <w:rFonts w:cstheme="minorHAnsi"/>
          <w:color w:val="000000" w:themeColor="text1"/>
          <w:lang w:val="en-US"/>
        </w:rPr>
        <w:t xml:space="preserve"> pain </w:t>
      </w:r>
      <w:r w:rsidR="008D7D15" w:rsidRPr="00156087">
        <w:rPr>
          <w:rFonts w:cstheme="minorHAnsi"/>
          <w:color w:val="000000" w:themeColor="text1"/>
          <w:lang w:val="en-US"/>
        </w:rPr>
        <w:t xml:space="preserve">has in several population-based studies been associated </w:t>
      </w:r>
      <w:r w:rsidR="007F3B61" w:rsidRPr="00156087">
        <w:rPr>
          <w:rFonts w:cstheme="minorHAnsi"/>
          <w:color w:val="000000" w:themeColor="text1"/>
          <w:lang w:val="en-US"/>
        </w:rPr>
        <w:t xml:space="preserve">with </w:t>
      </w:r>
      <w:r w:rsidR="00296FC7" w:rsidRPr="00156087">
        <w:rPr>
          <w:rFonts w:cstheme="minorHAnsi"/>
          <w:color w:val="000000" w:themeColor="text1"/>
          <w:lang w:val="en-US"/>
        </w:rPr>
        <w:t xml:space="preserve">problematic </w:t>
      </w:r>
      <w:r w:rsidR="00FC5C6D" w:rsidRPr="00156087">
        <w:rPr>
          <w:rFonts w:cstheme="minorHAnsi"/>
          <w:color w:val="000000" w:themeColor="text1"/>
          <w:lang w:val="en-US"/>
        </w:rPr>
        <w:t xml:space="preserve">opioid </w:t>
      </w:r>
      <w:r w:rsidR="00296FC7" w:rsidRPr="00156087">
        <w:rPr>
          <w:rFonts w:cstheme="minorHAnsi"/>
          <w:color w:val="000000" w:themeColor="text1"/>
          <w:lang w:val="en-US"/>
        </w:rPr>
        <w:t>use</w:t>
      </w:r>
      <w:r w:rsidR="00D15F33" w:rsidRPr="00156087">
        <w:rPr>
          <w:rFonts w:cstheme="minorHAnsi"/>
          <w:color w:val="000000" w:themeColor="text1"/>
          <w:lang w:val="en-US"/>
        </w:rPr>
        <w:t>,</w:t>
      </w:r>
      <w:r w:rsidR="00296FC7" w:rsidRPr="00156087">
        <w:rPr>
          <w:rFonts w:cstheme="minorHAnsi"/>
          <w:color w:val="000000" w:themeColor="text1"/>
          <w:lang w:val="en-US"/>
        </w:rPr>
        <w:t xml:space="preserve"> and</w:t>
      </w:r>
      <w:r w:rsidR="00D00E61" w:rsidRPr="00156087">
        <w:rPr>
          <w:rFonts w:cstheme="minorHAnsi"/>
          <w:color w:val="000000" w:themeColor="text1"/>
          <w:lang w:val="en-US"/>
        </w:rPr>
        <w:t xml:space="preserve"> recent data have</w:t>
      </w:r>
      <w:r w:rsidR="00DF0649" w:rsidRPr="00156087">
        <w:rPr>
          <w:rFonts w:cstheme="minorHAnsi"/>
          <w:color w:val="000000" w:themeColor="text1"/>
          <w:lang w:val="en-US"/>
        </w:rPr>
        <w:t xml:space="preserve"> </w:t>
      </w:r>
      <w:r w:rsidR="000331D3" w:rsidRPr="00156087">
        <w:rPr>
          <w:rFonts w:cstheme="minorHAnsi"/>
          <w:color w:val="000000" w:themeColor="text1"/>
          <w:lang w:val="en-US"/>
        </w:rPr>
        <w:t>estimated</w:t>
      </w:r>
      <w:r w:rsidR="00D00E61" w:rsidRPr="00156087">
        <w:rPr>
          <w:rFonts w:cstheme="minorHAnsi"/>
          <w:color w:val="000000" w:themeColor="text1"/>
          <w:lang w:val="en-US"/>
        </w:rPr>
        <w:t xml:space="preserve"> that the risk of addiction seems to be much higher than previously expected (&gt;20%)</w:t>
      </w:r>
      <w:r w:rsidR="00B14874" w:rsidRPr="00156087">
        <w:rPr>
          <w:rFonts w:cstheme="minorHAnsi"/>
          <w:color w:val="000000" w:themeColor="text1"/>
          <w:lang w:val="en-US"/>
        </w:rPr>
        <w:t xml:space="preserve"> </w:t>
      </w:r>
      <w:r w:rsidR="00553C26">
        <w:rPr>
          <w:rFonts w:cstheme="minorHAnsi"/>
          <w:noProof/>
          <w:color w:val="000000" w:themeColor="text1"/>
          <w:lang w:val="en-US"/>
        </w:rPr>
        <w:t>[24;25]</w:t>
      </w:r>
      <w:r w:rsidR="00296FC7" w:rsidRPr="00156087">
        <w:rPr>
          <w:rFonts w:cstheme="minorHAnsi"/>
          <w:color w:val="000000" w:themeColor="text1"/>
          <w:lang w:val="en-US"/>
        </w:rPr>
        <w:t>.</w:t>
      </w:r>
      <w:r w:rsidR="00D00E61" w:rsidRPr="00156087">
        <w:rPr>
          <w:rFonts w:cstheme="minorHAnsi"/>
          <w:color w:val="000000" w:themeColor="text1"/>
          <w:lang w:val="en-US"/>
        </w:rPr>
        <w:t xml:space="preserve"> </w:t>
      </w:r>
      <w:r w:rsidR="00D15F33" w:rsidRPr="00156087">
        <w:rPr>
          <w:rFonts w:cstheme="minorHAnsi"/>
          <w:color w:val="000000" w:themeColor="text1"/>
          <w:lang w:val="en-US"/>
        </w:rPr>
        <w:t xml:space="preserve">The combination of </w:t>
      </w:r>
      <w:r w:rsidR="00D00E61" w:rsidRPr="00156087">
        <w:rPr>
          <w:rFonts w:cstheme="minorHAnsi"/>
          <w:color w:val="000000" w:themeColor="text1"/>
          <w:lang w:val="en-US"/>
        </w:rPr>
        <w:t xml:space="preserve">the disappointing efficacy </w:t>
      </w:r>
      <w:r w:rsidR="000331D3" w:rsidRPr="00156087">
        <w:rPr>
          <w:rFonts w:cstheme="minorHAnsi"/>
          <w:color w:val="000000" w:themeColor="text1"/>
          <w:lang w:val="en-US"/>
        </w:rPr>
        <w:t>of persistent opioid treatment</w:t>
      </w:r>
      <w:r w:rsidR="00D00E61" w:rsidRPr="00156087">
        <w:rPr>
          <w:rFonts w:cstheme="minorHAnsi"/>
          <w:color w:val="000000" w:themeColor="text1"/>
          <w:lang w:val="en-US"/>
        </w:rPr>
        <w:t xml:space="preserve"> and </w:t>
      </w:r>
      <w:r w:rsidR="00D15F33" w:rsidRPr="00156087">
        <w:rPr>
          <w:rFonts w:cstheme="minorHAnsi"/>
          <w:color w:val="000000" w:themeColor="text1"/>
          <w:lang w:val="en-US"/>
        </w:rPr>
        <w:t xml:space="preserve">the </w:t>
      </w:r>
      <w:r w:rsidR="00D00E61" w:rsidRPr="00156087">
        <w:rPr>
          <w:rFonts w:cstheme="minorHAnsi"/>
          <w:color w:val="000000" w:themeColor="text1"/>
          <w:lang w:val="en-US"/>
        </w:rPr>
        <w:t xml:space="preserve">over-all harm data </w:t>
      </w:r>
      <w:r w:rsidR="000331D3" w:rsidRPr="00156087">
        <w:rPr>
          <w:rFonts w:cstheme="minorHAnsi"/>
          <w:color w:val="000000" w:themeColor="text1"/>
          <w:lang w:val="en-US"/>
        </w:rPr>
        <w:t xml:space="preserve">have </w:t>
      </w:r>
      <w:r w:rsidR="00D00E61" w:rsidRPr="00156087">
        <w:rPr>
          <w:rFonts w:cstheme="minorHAnsi"/>
          <w:color w:val="000000" w:themeColor="text1"/>
          <w:lang w:val="en-US"/>
        </w:rPr>
        <w:t>increasingly question</w:t>
      </w:r>
      <w:r w:rsidR="000331D3" w:rsidRPr="00156087">
        <w:rPr>
          <w:rFonts w:cstheme="minorHAnsi"/>
          <w:color w:val="000000" w:themeColor="text1"/>
          <w:lang w:val="en-US"/>
        </w:rPr>
        <w:t>ed</w:t>
      </w:r>
      <w:r w:rsidR="00D00E61" w:rsidRPr="00156087">
        <w:rPr>
          <w:rFonts w:cstheme="minorHAnsi"/>
          <w:color w:val="000000" w:themeColor="text1"/>
          <w:lang w:val="en-US"/>
        </w:rPr>
        <w:t xml:space="preserve"> whether opioids should be </w:t>
      </w:r>
      <w:r w:rsidR="00D15F33" w:rsidRPr="00156087">
        <w:rPr>
          <w:rFonts w:cstheme="minorHAnsi"/>
          <w:color w:val="000000" w:themeColor="text1"/>
          <w:lang w:val="en-US"/>
        </w:rPr>
        <w:t xml:space="preserve">prescribed </w:t>
      </w:r>
      <w:r w:rsidR="00D00E61" w:rsidRPr="00156087">
        <w:rPr>
          <w:rFonts w:cstheme="minorHAnsi"/>
          <w:color w:val="000000" w:themeColor="text1"/>
          <w:lang w:val="en-US"/>
        </w:rPr>
        <w:t xml:space="preserve">for </w:t>
      </w:r>
      <w:r w:rsidR="001A35BB" w:rsidRPr="00156087">
        <w:rPr>
          <w:rFonts w:cstheme="minorHAnsi"/>
          <w:color w:val="000000" w:themeColor="text1"/>
          <w:lang w:val="en-US"/>
        </w:rPr>
        <w:t>chronic non-</w:t>
      </w:r>
      <w:r w:rsidR="00FC5C6D" w:rsidRPr="00156087">
        <w:rPr>
          <w:rFonts w:cstheme="minorHAnsi"/>
          <w:color w:val="000000" w:themeColor="text1"/>
          <w:lang w:val="en-US"/>
        </w:rPr>
        <w:t xml:space="preserve">malignant </w:t>
      </w:r>
      <w:r w:rsidR="001A35BB" w:rsidRPr="00156087">
        <w:rPr>
          <w:rFonts w:cstheme="minorHAnsi"/>
          <w:color w:val="000000" w:themeColor="text1"/>
          <w:lang w:val="en-US"/>
        </w:rPr>
        <w:t xml:space="preserve">pain </w:t>
      </w:r>
      <w:r w:rsidR="00BE0C63" w:rsidRPr="00156087">
        <w:rPr>
          <w:rFonts w:cstheme="minorHAnsi"/>
          <w:noProof/>
          <w:color w:val="000000" w:themeColor="text1"/>
          <w:lang w:val="en-US"/>
        </w:rPr>
        <w:t>[8;9</w:t>
      </w:r>
      <w:r>
        <w:rPr>
          <w:rFonts w:cstheme="minorHAnsi"/>
          <w:noProof/>
          <w:color w:val="000000" w:themeColor="text1"/>
          <w:lang w:val="en-US"/>
        </w:rPr>
        <w:t>;10</w:t>
      </w:r>
      <w:r w:rsidR="00BE0C63" w:rsidRPr="00156087">
        <w:rPr>
          <w:rFonts w:cstheme="minorHAnsi"/>
          <w:noProof/>
          <w:color w:val="000000" w:themeColor="text1"/>
          <w:lang w:val="en-US"/>
        </w:rPr>
        <w:t>]</w:t>
      </w:r>
      <w:r w:rsidR="00D00E61" w:rsidRPr="00156087">
        <w:rPr>
          <w:rFonts w:cstheme="minorHAnsi"/>
          <w:color w:val="000000" w:themeColor="text1"/>
          <w:lang w:val="en-US"/>
        </w:rPr>
        <w:t>.</w:t>
      </w:r>
      <w:r w:rsidR="00296FC7" w:rsidRPr="00156087">
        <w:rPr>
          <w:rFonts w:cstheme="minorHAnsi"/>
          <w:color w:val="000000" w:themeColor="text1"/>
          <w:lang w:val="en-US"/>
        </w:rPr>
        <w:t xml:space="preserve"> In this respect chronic pain in </w:t>
      </w:r>
      <w:r w:rsidR="00484121" w:rsidRPr="00156087">
        <w:rPr>
          <w:rFonts w:cstheme="minorHAnsi"/>
          <w:color w:val="000000" w:themeColor="text1"/>
          <w:lang w:val="en-US"/>
        </w:rPr>
        <w:t xml:space="preserve">adult long-term survivors of cancer in </w:t>
      </w:r>
      <w:r w:rsidR="00690522" w:rsidRPr="00156087">
        <w:rPr>
          <w:rFonts w:cstheme="minorHAnsi"/>
          <w:color w:val="000000" w:themeColor="text1"/>
          <w:lang w:val="en-US"/>
        </w:rPr>
        <w:t>CAEA</w:t>
      </w:r>
      <w:r w:rsidR="00484121" w:rsidRPr="00156087">
        <w:rPr>
          <w:rFonts w:cstheme="minorHAnsi"/>
          <w:color w:val="000000" w:themeColor="text1"/>
          <w:lang w:val="en-US"/>
        </w:rPr>
        <w:t xml:space="preserve"> </w:t>
      </w:r>
      <w:r w:rsidR="00296FC7" w:rsidRPr="00156087">
        <w:rPr>
          <w:rFonts w:cstheme="minorHAnsi"/>
          <w:color w:val="000000" w:themeColor="text1"/>
          <w:lang w:val="en-US"/>
        </w:rPr>
        <w:t xml:space="preserve">may be considered as one subgroup imbedded in the wide variety of patients suffering from </w:t>
      </w:r>
      <w:r w:rsidR="001A35BB" w:rsidRPr="00156087">
        <w:rPr>
          <w:rFonts w:cstheme="minorHAnsi"/>
          <w:color w:val="000000" w:themeColor="text1"/>
          <w:lang w:val="en-US"/>
        </w:rPr>
        <w:t>chronic non-</w:t>
      </w:r>
      <w:r w:rsidR="00FC5C6D" w:rsidRPr="00156087">
        <w:rPr>
          <w:rFonts w:cstheme="minorHAnsi"/>
          <w:color w:val="000000" w:themeColor="text1"/>
          <w:lang w:val="en-US"/>
        </w:rPr>
        <w:t>malignant</w:t>
      </w:r>
      <w:r w:rsidR="001A35BB" w:rsidRPr="00156087">
        <w:rPr>
          <w:rFonts w:cstheme="minorHAnsi"/>
          <w:color w:val="000000" w:themeColor="text1"/>
          <w:lang w:val="en-US"/>
        </w:rPr>
        <w:t xml:space="preserve"> pain</w:t>
      </w:r>
      <w:r w:rsidR="00296FC7" w:rsidRPr="00156087">
        <w:rPr>
          <w:rFonts w:cstheme="minorHAnsi"/>
          <w:color w:val="000000" w:themeColor="text1"/>
          <w:lang w:val="en-US"/>
        </w:rPr>
        <w:t xml:space="preserve">. </w:t>
      </w:r>
      <w:r w:rsidR="00DF0649" w:rsidRPr="00156087">
        <w:rPr>
          <w:rFonts w:cstheme="minorHAnsi"/>
          <w:color w:val="000000" w:themeColor="text1"/>
          <w:lang w:val="en-US"/>
        </w:rPr>
        <w:t xml:space="preserve">Thus, in our study it is a worrying finding that the prevalence of high-dose use of benzodiazepines, benzodiazepine-related hypnotics, persistent opioid use and high-dose opioid use were increased in </w:t>
      </w:r>
      <w:r w:rsidR="00B02714" w:rsidRPr="00156087">
        <w:rPr>
          <w:rFonts w:cstheme="minorHAnsi"/>
          <w:color w:val="000000" w:themeColor="text1"/>
          <w:lang w:val="en-US"/>
        </w:rPr>
        <w:t>females</w:t>
      </w:r>
      <w:r w:rsidR="00DF0649" w:rsidRPr="00156087">
        <w:rPr>
          <w:rFonts w:cstheme="minorHAnsi"/>
          <w:color w:val="000000" w:themeColor="text1"/>
          <w:lang w:val="en-US"/>
        </w:rPr>
        <w:t xml:space="preserve"> compared to the </w:t>
      </w:r>
      <w:r w:rsidR="00D15F33" w:rsidRPr="00156087">
        <w:rPr>
          <w:rFonts w:cstheme="minorHAnsi"/>
          <w:color w:val="000000" w:themeColor="text1"/>
          <w:lang w:val="en-US"/>
        </w:rPr>
        <w:t xml:space="preserve">general </w:t>
      </w:r>
      <w:r w:rsidR="00DF0649" w:rsidRPr="00156087">
        <w:rPr>
          <w:rFonts w:cstheme="minorHAnsi"/>
          <w:color w:val="000000" w:themeColor="text1"/>
          <w:lang w:val="en-US"/>
        </w:rPr>
        <w:t xml:space="preserve">population. </w:t>
      </w:r>
      <w:r w:rsidR="000331D3" w:rsidRPr="00156087">
        <w:rPr>
          <w:rFonts w:cstheme="minorHAnsi"/>
          <w:color w:val="000000" w:themeColor="text1"/>
          <w:lang w:val="en-US"/>
        </w:rPr>
        <w:t>Interestingly</w:t>
      </w:r>
      <w:r w:rsidR="00D15F33" w:rsidRPr="00156087">
        <w:rPr>
          <w:rFonts w:cstheme="minorHAnsi"/>
          <w:color w:val="000000" w:themeColor="text1"/>
          <w:lang w:val="en-US"/>
        </w:rPr>
        <w:t xml:space="preserve">, this finding is in line with </w:t>
      </w:r>
      <w:r w:rsidR="003C5BC7" w:rsidRPr="00156087">
        <w:rPr>
          <w:rFonts w:cstheme="minorHAnsi"/>
          <w:color w:val="000000" w:themeColor="text1"/>
          <w:lang w:val="en-US"/>
        </w:rPr>
        <w:t xml:space="preserve">several other studies in </w:t>
      </w:r>
      <w:r w:rsidR="001A35BB" w:rsidRPr="00156087">
        <w:rPr>
          <w:rFonts w:cstheme="minorHAnsi"/>
          <w:color w:val="000000" w:themeColor="text1"/>
          <w:lang w:val="en-US"/>
        </w:rPr>
        <w:t>chronic non-</w:t>
      </w:r>
      <w:r w:rsidR="00FC5C6D" w:rsidRPr="00156087">
        <w:rPr>
          <w:rFonts w:cstheme="minorHAnsi"/>
          <w:color w:val="000000" w:themeColor="text1"/>
          <w:lang w:val="en-US"/>
        </w:rPr>
        <w:t xml:space="preserve">malignant </w:t>
      </w:r>
      <w:r w:rsidR="001A35BB" w:rsidRPr="00156087">
        <w:rPr>
          <w:rFonts w:cstheme="minorHAnsi"/>
          <w:color w:val="000000" w:themeColor="text1"/>
          <w:lang w:val="en-US"/>
        </w:rPr>
        <w:t xml:space="preserve">pain </w:t>
      </w:r>
      <w:r w:rsidR="003C5BC7" w:rsidRPr="00156087">
        <w:rPr>
          <w:rFonts w:cstheme="minorHAnsi"/>
          <w:color w:val="000000" w:themeColor="text1"/>
          <w:lang w:val="en-US"/>
        </w:rPr>
        <w:t>patients</w:t>
      </w:r>
      <w:r w:rsidR="00196AE0" w:rsidRPr="00156087">
        <w:rPr>
          <w:rFonts w:cstheme="minorHAnsi"/>
          <w:color w:val="000000" w:themeColor="text1"/>
          <w:lang w:val="en-US"/>
        </w:rPr>
        <w:t>,</w:t>
      </w:r>
      <w:r w:rsidR="003C5BC7" w:rsidRPr="00156087">
        <w:rPr>
          <w:rFonts w:cstheme="minorHAnsi"/>
          <w:color w:val="000000" w:themeColor="text1"/>
          <w:lang w:val="en-US"/>
        </w:rPr>
        <w:t xml:space="preserve"> </w:t>
      </w:r>
      <w:r w:rsidR="00D15F33" w:rsidRPr="00156087">
        <w:rPr>
          <w:rFonts w:cstheme="minorHAnsi"/>
          <w:color w:val="000000" w:themeColor="text1"/>
          <w:lang w:val="en-US"/>
        </w:rPr>
        <w:t xml:space="preserve">where a higher consumption of analgesics including opioids have been found in </w:t>
      </w:r>
      <w:r w:rsidR="006E38CB" w:rsidRPr="00156087">
        <w:rPr>
          <w:rFonts w:cstheme="minorHAnsi"/>
          <w:color w:val="000000" w:themeColor="text1"/>
          <w:lang w:val="en-US"/>
        </w:rPr>
        <w:t>female</w:t>
      </w:r>
      <w:r w:rsidR="00D15F33" w:rsidRPr="00156087">
        <w:rPr>
          <w:rFonts w:cstheme="minorHAnsi"/>
          <w:color w:val="000000" w:themeColor="text1"/>
          <w:lang w:val="en-US"/>
        </w:rPr>
        <w:t>s</w:t>
      </w:r>
      <w:r w:rsidR="006E38CB" w:rsidRPr="00156087">
        <w:rPr>
          <w:rFonts w:cstheme="minorHAnsi"/>
          <w:color w:val="000000" w:themeColor="text1"/>
          <w:lang w:val="en-US"/>
        </w:rPr>
        <w:t xml:space="preserve"> </w:t>
      </w:r>
      <w:r w:rsidR="00762AF8" w:rsidRPr="00156087">
        <w:rPr>
          <w:rFonts w:cstheme="minorHAnsi"/>
          <w:color w:val="000000" w:themeColor="text1"/>
          <w:lang w:val="en-US"/>
        </w:rPr>
        <w:t>compared to male</w:t>
      </w:r>
      <w:r w:rsidR="00D15F33" w:rsidRPr="00156087">
        <w:rPr>
          <w:rFonts w:cstheme="minorHAnsi"/>
          <w:color w:val="000000" w:themeColor="text1"/>
          <w:lang w:val="en-US"/>
        </w:rPr>
        <w:t>s</w:t>
      </w:r>
      <w:r w:rsidR="00762AF8" w:rsidRPr="00156087">
        <w:rPr>
          <w:rFonts w:cstheme="minorHAnsi"/>
          <w:color w:val="000000" w:themeColor="text1"/>
          <w:lang w:val="en-US"/>
        </w:rPr>
        <w:t xml:space="preserve"> </w:t>
      </w:r>
      <w:r w:rsidR="00BE0C63" w:rsidRPr="00156087">
        <w:rPr>
          <w:rFonts w:cstheme="minorHAnsi"/>
          <w:noProof/>
          <w:color w:val="000000" w:themeColor="text1"/>
          <w:lang w:val="en-US"/>
        </w:rPr>
        <w:t>[2;7]</w:t>
      </w:r>
      <w:r w:rsidR="006E38CB" w:rsidRPr="00156087">
        <w:rPr>
          <w:rFonts w:cstheme="minorHAnsi"/>
          <w:color w:val="000000" w:themeColor="text1"/>
          <w:lang w:val="en-US"/>
        </w:rPr>
        <w:t xml:space="preserve">. This may be explained by the fact that </w:t>
      </w:r>
      <w:r w:rsidR="00B02714" w:rsidRPr="00156087">
        <w:rPr>
          <w:rFonts w:cstheme="minorHAnsi"/>
          <w:color w:val="000000" w:themeColor="text1"/>
          <w:lang w:val="en-US"/>
        </w:rPr>
        <w:t>females</w:t>
      </w:r>
      <w:r w:rsidR="006E38CB" w:rsidRPr="00156087">
        <w:rPr>
          <w:rFonts w:cstheme="minorHAnsi"/>
          <w:color w:val="000000" w:themeColor="text1"/>
          <w:lang w:val="en-US"/>
        </w:rPr>
        <w:t xml:space="preserve"> have demonstrated higher biological sensitivity and a lower threshold for pain stimuli than men, possibly mediated and modulated by gonadal hormonal factors</w:t>
      </w:r>
      <w:r w:rsidR="00D15F33" w:rsidRPr="00156087">
        <w:rPr>
          <w:rFonts w:cstheme="minorHAnsi"/>
          <w:color w:val="000000" w:themeColor="text1"/>
          <w:lang w:val="en-US"/>
        </w:rPr>
        <w:t>,</w:t>
      </w:r>
      <w:r w:rsidR="001A0986" w:rsidRPr="00156087">
        <w:rPr>
          <w:rFonts w:cstheme="minorHAnsi"/>
          <w:color w:val="000000" w:themeColor="text1"/>
          <w:lang w:val="en-US"/>
        </w:rPr>
        <w:t xml:space="preserve"> as well as </w:t>
      </w:r>
      <w:r w:rsidR="00D15F33" w:rsidRPr="00156087">
        <w:rPr>
          <w:rFonts w:cstheme="minorHAnsi"/>
          <w:color w:val="000000" w:themeColor="text1"/>
          <w:lang w:val="en-US"/>
        </w:rPr>
        <w:t xml:space="preserve">by </w:t>
      </w:r>
      <w:r w:rsidR="000331D3" w:rsidRPr="00156087">
        <w:rPr>
          <w:rFonts w:cstheme="minorHAnsi"/>
          <w:color w:val="000000" w:themeColor="text1"/>
          <w:lang w:val="en-US"/>
        </w:rPr>
        <w:t xml:space="preserve">the fact that </w:t>
      </w:r>
      <w:r w:rsidR="00B02714" w:rsidRPr="00156087">
        <w:rPr>
          <w:rFonts w:cstheme="minorHAnsi"/>
          <w:color w:val="000000" w:themeColor="text1"/>
          <w:lang w:val="en-US"/>
        </w:rPr>
        <w:t>females</w:t>
      </w:r>
      <w:r w:rsidR="006E38CB" w:rsidRPr="00156087">
        <w:rPr>
          <w:rFonts w:cstheme="minorHAnsi"/>
          <w:color w:val="000000" w:themeColor="text1"/>
          <w:lang w:val="en-US"/>
        </w:rPr>
        <w:t xml:space="preserve"> </w:t>
      </w:r>
      <w:r w:rsidR="000331D3" w:rsidRPr="00156087">
        <w:rPr>
          <w:rFonts w:cstheme="minorHAnsi"/>
          <w:color w:val="000000" w:themeColor="text1"/>
          <w:lang w:val="en-US"/>
        </w:rPr>
        <w:t xml:space="preserve">generally </w:t>
      </w:r>
      <w:r w:rsidR="001A0986" w:rsidRPr="00156087">
        <w:rPr>
          <w:rFonts w:cstheme="minorHAnsi"/>
          <w:color w:val="000000" w:themeColor="text1"/>
          <w:lang w:val="en-US"/>
        </w:rPr>
        <w:t xml:space="preserve">tend to </w:t>
      </w:r>
      <w:r w:rsidR="006E38CB" w:rsidRPr="00156087">
        <w:rPr>
          <w:rFonts w:cstheme="minorHAnsi"/>
          <w:color w:val="000000" w:themeColor="text1"/>
          <w:lang w:val="en-US"/>
        </w:rPr>
        <w:t xml:space="preserve">seek medical support more frequently than </w:t>
      </w:r>
      <w:r w:rsidR="00B02714" w:rsidRPr="00156087">
        <w:rPr>
          <w:rFonts w:cstheme="minorHAnsi"/>
          <w:color w:val="000000" w:themeColor="text1"/>
          <w:lang w:val="en-US"/>
        </w:rPr>
        <w:t>males</w:t>
      </w:r>
      <w:r w:rsidR="006E38CB" w:rsidRPr="00156087">
        <w:rPr>
          <w:rFonts w:cstheme="minorHAnsi"/>
          <w:color w:val="000000" w:themeColor="text1"/>
          <w:lang w:val="en-US"/>
        </w:rPr>
        <w:t xml:space="preserve"> </w:t>
      </w:r>
      <w:r w:rsidR="00553C26">
        <w:rPr>
          <w:rFonts w:cstheme="minorHAnsi"/>
          <w:noProof/>
          <w:color w:val="000000" w:themeColor="text1"/>
          <w:lang w:val="en-US"/>
        </w:rPr>
        <w:t>[4;11;19;38;42]</w:t>
      </w:r>
      <w:r w:rsidR="00D15F33" w:rsidRPr="00156087">
        <w:rPr>
          <w:rFonts w:cstheme="minorHAnsi"/>
          <w:color w:val="000000" w:themeColor="text1"/>
          <w:lang w:val="en-US"/>
        </w:rPr>
        <w:t xml:space="preserve">. </w:t>
      </w:r>
    </w:p>
    <w:p w14:paraId="3F2B7ECA" w14:textId="77777777" w:rsidR="008D6F82" w:rsidRPr="00156087" w:rsidRDefault="008D6F82" w:rsidP="008D6F82">
      <w:pPr>
        <w:spacing w:after="0" w:line="360" w:lineRule="auto"/>
        <w:rPr>
          <w:rFonts w:cstheme="minorHAnsi"/>
          <w:color w:val="000000" w:themeColor="text1"/>
          <w:lang w:val="en-US"/>
        </w:rPr>
      </w:pPr>
    </w:p>
    <w:p w14:paraId="67A6F246" w14:textId="331383E2" w:rsidR="008D6F82" w:rsidRPr="00156087" w:rsidRDefault="002B42E0" w:rsidP="008D6F82">
      <w:pPr>
        <w:spacing w:after="0" w:line="360" w:lineRule="auto"/>
        <w:rPr>
          <w:rFonts w:cstheme="minorHAnsi"/>
          <w:color w:val="000000" w:themeColor="text1"/>
          <w:lang w:val="en-US"/>
        </w:rPr>
      </w:pPr>
      <w:r w:rsidRPr="00156087">
        <w:rPr>
          <w:rFonts w:cstheme="minorHAnsi"/>
          <w:color w:val="000000" w:themeColor="text1"/>
          <w:lang w:val="en-US"/>
        </w:rPr>
        <w:t xml:space="preserve">The </w:t>
      </w:r>
      <w:r w:rsidR="000331D3" w:rsidRPr="00156087">
        <w:rPr>
          <w:rFonts w:cstheme="minorHAnsi"/>
          <w:color w:val="000000" w:themeColor="text1"/>
          <w:lang w:val="en-US"/>
        </w:rPr>
        <w:t>pronounced</w:t>
      </w:r>
      <w:r w:rsidRPr="00156087">
        <w:rPr>
          <w:rFonts w:cstheme="minorHAnsi"/>
          <w:color w:val="000000" w:themeColor="text1"/>
          <w:lang w:val="en-US"/>
        </w:rPr>
        <w:t xml:space="preserve"> degree of co-medication with </w:t>
      </w:r>
      <w:bookmarkStart w:id="7" w:name="OLE_LINK1"/>
      <w:r w:rsidRPr="00156087">
        <w:rPr>
          <w:rFonts w:cstheme="minorHAnsi"/>
          <w:color w:val="000000" w:themeColor="text1"/>
          <w:lang w:val="en-US"/>
        </w:rPr>
        <w:t xml:space="preserve">benzodiazepines and benzodiazepine-related hypnotics </w:t>
      </w:r>
      <w:bookmarkEnd w:id="7"/>
      <w:r w:rsidRPr="00156087">
        <w:rPr>
          <w:rFonts w:cstheme="minorHAnsi"/>
          <w:color w:val="000000" w:themeColor="text1"/>
          <w:lang w:val="en-US"/>
        </w:rPr>
        <w:t xml:space="preserve">in persistent and high-dose opioid users could be expected due to previous reports of higher prevalence of use of benzodiazepines and benzodiazepine-related hypnotics in survivors of cancer in </w:t>
      </w:r>
      <w:r w:rsidR="00690522" w:rsidRPr="00156087">
        <w:rPr>
          <w:rFonts w:cstheme="minorHAnsi"/>
          <w:color w:val="000000" w:themeColor="text1"/>
          <w:lang w:val="en-US"/>
        </w:rPr>
        <w:t>CAEA</w:t>
      </w:r>
      <w:r w:rsidRPr="00156087">
        <w:rPr>
          <w:rFonts w:cstheme="minorHAnsi"/>
          <w:color w:val="000000" w:themeColor="text1"/>
          <w:lang w:val="en-US"/>
        </w:rPr>
        <w:t xml:space="preserve"> compared to the general population </w:t>
      </w:r>
      <w:r w:rsidR="00553C26">
        <w:rPr>
          <w:rFonts w:cstheme="minorHAnsi"/>
          <w:noProof/>
          <w:color w:val="000000" w:themeColor="text1"/>
          <w:lang w:val="en-US"/>
        </w:rPr>
        <w:t>[28]</w:t>
      </w:r>
      <w:r w:rsidRPr="00156087">
        <w:rPr>
          <w:rFonts w:cstheme="minorHAnsi"/>
          <w:color w:val="000000" w:themeColor="text1"/>
          <w:lang w:val="en-US"/>
        </w:rPr>
        <w:t>. This finding is also</w:t>
      </w:r>
      <w:r w:rsidR="001A0986" w:rsidRPr="00156087">
        <w:rPr>
          <w:rFonts w:cstheme="minorHAnsi"/>
          <w:color w:val="000000" w:themeColor="text1"/>
          <w:lang w:val="en-US"/>
        </w:rPr>
        <w:t xml:space="preserve"> in line with findings from other </w:t>
      </w:r>
      <w:r w:rsidR="001A35BB" w:rsidRPr="00156087">
        <w:rPr>
          <w:rFonts w:cstheme="minorHAnsi"/>
          <w:color w:val="000000" w:themeColor="text1"/>
          <w:lang w:val="en-US"/>
        </w:rPr>
        <w:t>chronic non-</w:t>
      </w:r>
      <w:r w:rsidR="00FC5C6D" w:rsidRPr="00156087">
        <w:rPr>
          <w:rFonts w:cstheme="minorHAnsi"/>
          <w:color w:val="000000" w:themeColor="text1"/>
          <w:lang w:val="en-US"/>
        </w:rPr>
        <w:t xml:space="preserve">malignant </w:t>
      </w:r>
      <w:r w:rsidR="001A35BB" w:rsidRPr="00156087">
        <w:rPr>
          <w:rFonts w:cstheme="minorHAnsi"/>
          <w:color w:val="000000" w:themeColor="text1"/>
          <w:lang w:val="en-US"/>
        </w:rPr>
        <w:t xml:space="preserve">pain </w:t>
      </w:r>
      <w:r w:rsidR="001A0986" w:rsidRPr="00156087">
        <w:rPr>
          <w:rFonts w:cstheme="minorHAnsi"/>
          <w:color w:val="000000" w:themeColor="text1"/>
          <w:lang w:val="en-US"/>
        </w:rPr>
        <w:t xml:space="preserve">populations </w:t>
      </w:r>
      <w:r w:rsidR="00553C26">
        <w:rPr>
          <w:rFonts w:cstheme="minorHAnsi"/>
          <w:noProof/>
          <w:color w:val="000000" w:themeColor="text1"/>
          <w:lang w:val="en-US"/>
        </w:rPr>
        <w:t>[43]</w:t>
      </w:r>
      <w:r w:rsidR="001A0986" w:rsidRPr="00156087">
        <w:rPr>
          <w:rFonts w:cstheme="minorHAnsi"/>
          <w:color w:val="000000" w:themeColor="text1"/>
          <w:lang w:val="en-US"/>
        </w:rPr>
        <w:t xml:space="preserve">. </w:t>
      </w:r>
      <w:r w:rsidR="00942E69" w:rsidRPr="00156087">
        <w:rPr>
          <w:rFonts w:cstheme="minorHAnsi"/>
          <w:color w:val="000000" w:themeColor="text1"/>
          <w:lang w:val="en-US"/>
        </w:rPr>
        <w:t>P</w:t>
      </w:r>
      <w:r w:rsidR="0021457C" w:rsidRPr="00156087">
        <w:rPr>
          <w:rFonts w:cstheme="minorHAnsi"/>
          <w:color w:val="000000" w:themeColor="text1"/>
          <w:lang w:val="en-US"/>
        </w:rPr>
        <w:t xml:space="preserve">reclinical evidence </w:t>
      </w:r>
      <w:r w:rsidR="00942E69" w:rsidRPr="00156087">
        <w:rPr>
          <w:rFonts w:cstheme="minorHAnsi"/>
          <w:color w:val="000000" w:themeColor="text1"/>
          <w:lang w:val="en-US"/>
        </w:rPr>
        <w:t xml:space="preserve">has suggested </w:t>
      </w:r>
      <w:r w:rsidR="0021457C" w:rsidRPr="00156087">
        <w:rPr>
          <w:rFonts w:cstheme="minorHAnsi"/>
          <w:color w:val="000000" w:themeColor="text1"/>
          <w:lang w:val="en-US"/>
        </w:rPr>
        <w:t xml:space="preserve">that </w:t>
      </w:r>
      <w:r w:rsidR="008B0BDA" w:rsidRPr="00156087">
        <w:rPr>
          <w:rFonts w:cstheme="minorHAnsi"/>
          <w:color w:val="000000" w:themeColor="text1"/>
          <w:lang w:val="en-US"/>
        </w:rPr>
        <w:t>benzodiazepines</w:t>
      </w:r>
      <w:r w:rsidR="0021457C" w:rsidRPr="00156087">
        <w:rPr>
          <w:rFonts w:cstheme="minorHAnsi"/>
          <w:color w:val="000000" w:themeColor="text1"/>
          <w:lang w:val="en-US"/>
        </w:rPr>
        <w:t xml:space="preserve"> </w:t>
      </w:r>
      <w:r w:rsidR="0021457C" w:rsidRPr="00156087">
        <w:rPr>
          <w:rFonts w:cstheme="minorHAnsi"/>
          <w:color w:val="000000" w:themeColor="text1"/>
          <w:lang w:val="en-US"/>
        </w:rPr>
        <w:lastRenderedPageBreak/>
        <w:t>increase the rewarding and reinforcing effects of opioids, which can explain the mechanism</w:t>
      </w:r>
      <w:r w:rsidR="00DA590B" w:rsidRPr="00156087">
        <w:rPr>
          <w:rFonts w:cstheme="minorHAnsi"/>
          <w:color w:val="000000" w:themeColor="text1"/>
          <w:lang w:val="en-US"/>
        </w:rPr>
        <w:t xml:space="preserve">s of </w:t>
      </w:r>
      <w:r w:rsidR="00B56728" w:rsidRPr="00156087">
        <w:rPr>
          <w:rFonts w:cstheme="minorHAnsi"/>
          <w:color w:val="000000" w:themeColor="text1"/>
          <w:lang w:val="en-US"/>
        </w:rPr>
        <w:t xml:space="preserve">the risk of co-medication with </w:t>
      </w:r>
      <w:r w:rsidR="008B0BDA" w:rsidRPr="00156087">
        <w:rPr>
          <w:rFonts w:cstheme="minorHAnsi"/>
          <w:color w:val="000000" w:themeColor="text1"/>
          <w:lang w:val="en-US"/>
        </w:rPr>
        <w:t xml:space="preserve">benzodiazepines </w:t>
      </w:r>
      <w:r w:rsidR="00B56728" w:rsidRPr="00156087">
        <w:rPr>
          <w:rFonts w:cstheme="minorHAnsi"/>
          <w:color w:val="000000" w:themeColor="text1"/>
          <w:lang w:val="en-US"/>
        </w:rPr>
        <w:t xml:space="preserve">turning into </w:t>
      </w:r>
      <w:r w:rsidR="00B93171" w:rsidRPr="00156087">
        <w:rPr>
          <w:rFonts w:cstheme="minorHAnsi"/>
          <w:color w:val="000000" w:themeColor="text1"/>
          <w:lang w:val="en-US"/>
        </w:rPr>
        <w:t>addicti</w:t>
      </w:r>
      <w:r w:rsidR="008D7FD7" w:rsidRPr="00156087">
        <w:rPr>
          <w:rFonts w:cstheme="minorHAnsi"/>
          <w:color w:val="000000" w:themeColor="text1"/>
          <w:lang w:val="en-US"/>
        </w:rPr>
        <w:t xml:space="preserve">ve behavior towards </w:t>
      </w:r>
      <w:r w:rsidR="00B93171" w:rsidRPr="00156087">
        <w:rPr>
          <w:rFonts w:cstheme="minorHAnsi"/>
          <w:color w:val="000000" w:themeColor="text1"/>
          <w:lang w:val="en-US"/>
        </w:rPr>
        <w:t>both substances</w:t>
      </w:r>
      <w:r w:rsidR="0021457C" w:rsidRPr="00156087">
        <w:rPr>
          <w:rFonts w:cstheme="minorHAnsi"/>
          <w:color w:val="000000" w:themeColor="text1"/>
          <w:lang w:val="en-US"/>
        </w:rPr>
        <w:t xml:space="preserve"> </w:t>
      </w:r>
      <w:r w:rsidR="00553C26">
        <w:rPr>
          <w:rFonts w:cstheme="minorHAnsi"/>
          <w:noProof/>
          <w:color w:val="000000" w:themeColor="text1"/>
          <w:lang w:val="en-US"/>
        </w:rPr>
        <w:t>[23;46]</w:t>
      </w:r>
      <w:r w:rsidR="0021457C" w:rsidRPr="00156087">
        <w:rPr>
          <w:rFonts w:cstheme="minorHAnsi"/>
          <w:color w:val="000000" w:themeColor="text1"/>
          <w:lang w:val="en-US"/>
        </w:rPr>
        <w:t>.</w:t>
      </w:r>
      <w:r w:rsidR="00FC5C6D" w:rsidRPr="00156087">
        <w:rPr>
          <w:rFonts w:cstheme="minorHAnsi"/>
          <w:color w:val="000000" w:themeColor="text1"/>
          <w:lang w:val="en-US"/>
        </w:rPr>
        <w:t xml:space="preserve"> This co-medication is also </w:t>
      </w:r>
      <w:r w:rsidR="00EB1707" w:rsidRPr="00156087">
        <w:rPr>
          <w:rFonts w:cstheme="minorHAnsi"/>
          <w:color w:val="000000" w:themeColor="text1"/>
          <w:lang w:val="en-US"/>
        </w:rPr>
        <w:t>in conflict with existing guidelines in Norway and elsewhere</w:t>
      </w:r>
      <w:r w:rsidR="00554CC3" w:rsidRPr="00156087">
        <w:rPr>
          <w:rFonts w:cstheme="minorHAnsi"/>
          <w:color w:val="000000" w:themeColor="text1"/>
          <w:lang w:val="en-US"/>
        </w:rPr>
        <w:t xml:space="preserve"> </w:t>
      </w:r>
      <w:r w:rsidR="00553C26">
        <w:rPr>
          <w:rFonts w:cstheme="minorHAnsi"/>
          <w:noProof/>
          <w:color w:val="000000" w:themeColor="text1"/>
          <w:lang w:val="en-US"/>
        </w:rPr>
        <w:t>[9;36]</w:t>
      </w:r>
      <w:r w:rsidR="00EB1707" w:rsidRPr="00156087">
        <w:rPr>
          <w:rFonts w:cstheme="minorHAnsi"/>
          <w:color w:val="000000" w:themeColor="text1"/>
          <w:lang w:val="en-US"/>
        </w:rPr>
        <w:t>.</w:t>
      </w:r>
      <w:r w:rsidR="005618DE" w:rsidRPr="00156087">
        <w:rPr>
          <w:rFonts w:cstheme="minorHAnsi"/>
          <w:color w:val="000000" w:themeColor="text1"/>
          <w:lang w:val="en-US"/>
        </w:rPr>
        <w:t xml:space="preserve"> </w:t>
      </w:r>
      <w:r w:rsidR="00E33CCC" w:rsidRPr="00156087">
        <w:rPr>
          <w:rFonts w:cstheme="minorHAnsi"/>
          <w:color w:val="000000" w:themeColor="text1"/>
          <w:lang w:val="en-US"/>
        </w:rPr>
        <w:t xml:space="preserve">The level of anxiety is raised in cancer survivors compared to healthy controls and this also pertains to survivors of childhood cancer </w:t>
      </w:r>
      <w:r w:rsidR="00553C26">
        <w:rPr>
          <w:rFonts w:cstheme="minorHAnsi"/>
          <w:noProof/>
          <w:color w:val="000000" w:themeColor="text1"/>
          <w:lang w:val="en-US"/>
        </w:rPr>
        <w:t>[35]</w:t>
      </w:r>
      <w:r w:rsidR="008612C7" w:rsidRPr="00156087">
        <w:rPr>
          <w:rFonts w:cstheme="minorHAnsi"/>
          <w:color w:val="000000" w:themeColor="text1"/>
          <w:lang w:val="en-US"/>
        </w:rPr>
        <w:t>.</w:t>
      </w:r>
      <w:r w:rsidR="00030E25" w:rsidRPr="00156087">
        <w:rPr>
          <w:rFonts w:cstheme="minorHAnsi"/>
          <w:color w:val="000000" w:themeColor="text1"/>
          <w:lang w:val="en-US"/>
        </w:rPr>
        <w:t xml:space="preserve"> </w:t>
      </w:r>
      <w:r w:rsidR="00E33CCC" w:rsidRPr="00156087">
        <w:rPr>
          <w:color w:val="000000" w:themeColor="text1"/>
          <w:lang w:val="en"/>
        </w:rPr>
        <w:t xml:space="preserve">Anxiety and pain commonly co-occur and this might explain the higher prevalence of </w:t>
      </w:r>
      <w:r w:rsidR="00E33CCC" w:rsidRPr="00156087">
        <w:rPr>
          <w:rFonts w:cstheme="minorHAnsi"/>
          <w:color w:val="000000" w:themeColor="text1"/>
          <w:lang w:val="en-US"/>
        </w:rPr>
        <w:t>high-dose opioids and benzodiazepines and benzodiazepine-related hypnotics.</w:t>
      </w:r>
    </w:p>
    <w:p w14:paraId="56DBB26D" w14:textId="77777777" w:rsidR="004F7FBB" w:rsidRPr="00156087" w:rsidRDefault="004F7FBB" w:rsidP="008D6F82">
      <w:pPr>
        <w:spacing w:after="0" w:line="360" w:lineRule="auto"/>
        <w:rPr>
          <w:rFonts w:cstheme="minorHAnsi"/>
          <w:color w:val="000000" w:themeColor="text1"/>
          <w:lang w:val="en-US"/>
        </w:rPr>
      </w:pPr>
    </w:p>
    <w:p w14:paraId="4C477FBB" w14:textId="55AC03E1" w:rsidR="00862CE1" w:rsidRPr="00156087" w:rsidRDefault="008924A6" w:rsidP="008D6F82">
      <w:pPr>
        <w:spacing w:after="0" w:line="360" w:lineRule="auto"/>
        <w:rPr>
          <w:rFonts w:cstheme="minorHAnsi"/>
          <w:color w:val="000000" w:themeColor="text1"/>
          <w:lang w:val="en-US"/>
        </w:rPr>
      </w:pPr>
      <w:r w:rsidRPr="00156087">
        <w:rPr>
          <w:rFonts w:cstheme="minorHAnsi"/>
          <w:color w:val="000000" w:themeColor="text1"/>
          <w:lang w:val="en-US"/>
        </w:rPr>
        <w:t>A finding</w:t>
      </w:r>
      <w:r w:rsidR="00196AE0" w:rsidRPr="00156087">
        <w:rPr>
          <w:rFonts w:cstheme="minorHAnsi"/>
          <w:color w:val="000000" w:themeColor="text1"/>
          <w:lang w:val="en-US"/>
        </w:rPr>
        <w:t>,</w:t>
      </w:r>
      <w:r w:rsidRPr="00156087">
        <w:rPr>
          <w:rFonts w:cstheme="minorHAnsi"/>
          <w:color w:val="000000" w:themeColor="text1"/>
          <w:lang w:val="en-US"/>
        </w:rPr>
        <w:t xml:space="preserve"> </w:t>
      </w:r>
      <w:r w:rsidR="00FA4A8C" w:rsidRPr="00156087">
        <w:rPr>
          <w:rFonts w:cstheme="minorHAnsi"/>
          <w:color w:val="000000" w:themeColor="text1"/>
          <w:lang w:val="en-US"/>
        </w:rPr>
        <w:t>which seems to be of high relevance for pain management of cancer survivors in general</w:t>
      </w:r>
      <w:r w:rsidR="00196AE0" w:rsidRPr="00156087">
        <w:rPr>
          <w:rFonts w:cstheme="minorHAnsi"/>
          <w:color w:val="000000" w:themeColor="text1"/>
          <w:lang w:val="en-US"/>
        </w:rPr>
        <w:t>,</w:t>
      </w:r>
      <w:r w:rsidR="00FA4A8C" w:rsidRPr="00156087">
        <w:rPr>
          <w:rFonts w:cstheme="minorHAnsi"/>
          <w:color w:val="000000" w:themeColor="text1"/>
          <w:lang w:val="en-US"/>
        </w:rPr>
        <w:t xml:space="preserve"> is the high consumption of gabapentin</w:t>
      </w:r>
      <w:r w:rsidR="00FC5C6D" w:rsidRPr="00156087">
        <w:rPr>
          <w:rFonts w:cstheme="minorHAnsi"/>
          <w:color w:val="000000" w:themeColor="text1"/>
          <w:lang w:val="en-US"/>
        </w:rPr>
        <w:t>oids</w:t>
      </w:r>
      <w:r w:rsidR="00A1361E" w:rsidRPr="00156087">
        <w:rPr>
          <w:rFonts w:cstheme="minorHAnsi"/>
          <w:color w:val="000000" w:themeColor="text1"/>
          <w:lang w:val="en-US"/>
        </w:rPr>
        <w:t xml:space="preserve"> </w:t>
      </w:r>
      <w:r w:rsidR="00553C26">
        <w:rPr>
          <w:rFonts w:cstheme="minorHAnsi"/>
          <w:noProof/>
          <w:color w:val="000000" w:themeColor="text1"/>
          <w:lang w:val="en-US"/>
        </w:rPr>
        <w:t>[30;41]</w:t>
      </w:r>
      <w:r w:rsidR="00FA4A8C" w:rsidRPr="00156087">
        <w:rPr>
          <w:rFonts w:cstheme="minorHAnsi"/>
          <w:color w:val="000000" w:themeColor="text1"/>
          <w:lang w:val="en-US"/>
        </w:rPr>
        <w:t>.</w:t>
      </w:r>
      <w:r w:rsidR="004A049E" w:rsidRPr="00156087">
        <w:rPr>
          <w:rFonts w:cstheme="minorHAnsi"/>
          <w:color w:val="000000" w:themeColor="text1"/>
          <w:lang w:val="en-US"/>
        </w:rPr>
        <w:t xml:space="preserve"> </w:t>
      </w:r>
      <w:r w:rsidR="00A1361E" w:rsidRPr="00156087">
        <w:rPr>
          <w:rFonts w:cstheme="minorHAnsi"/>
          <w:color w:val="000000" w:themeColor="text1"/>
          <w:lang w:val="en-US"/>
        </w:rPr>
        <w:t>Although there</w:t>
      </w:r>
      <w:r w:rsidR="00FA4A8C" w:rsidRPr="00156087">
        <w:rPr>
          <w:rFonts w:cstheme="minorHAnsi"/>
          <w:color w:val="000000" w:themeColor="text1"/>
          <w:lang w:val="en-US"/>
        </w:rPr>
        <w:t xml:space="preserve"> </w:t>
      </w:r>
      <w:r w:rsidR="0025206E" w:rsidRPr="00156087">
        <w:rPr>
          <w:rFonts w:cstheme="minorHAnsi"/>
          <w:color w:val="000000" w:themeColor="text1"/>
          <w:lang w:val="en-US"/>
        </w:rPr>
        <w:t>is sparse evidence for the prevalence</w:t>
      </w:r>
      <w:r w:rsidR="00942E69" w:rsidRPr="00156087">
        <w:rPr>
          <w:rFonts w:cstheme="minorHAnsi"/>
          <w:color w:val="000000" w:themeColor="text1"/>
          <w:lang w:val="en-US"/>
        </w:rPr>
        <w:t xml:space="preserve"> and severity</w:t>
      </w:r>
      <w:r w:rsidR="0025206E" w:rsidRPr="00156087">
        <w:rPr>
          <w:rFonts w:cstheme="minorHAnsi"/>
          <w:color w:val="000000" w:themeColor="text1"/>
          <w:lang w:val="en-US"/>
        </w:rPr>
        <w:t xml:space="preserve"> of neuropathic pain</w:t>
      </w:r>
      <w:r w:rsidR="00155196" w:rsidRPr="00156087">
        <w:rPr>
          <w:rFonts w:cstheme="minorHAnsi"/>
          <w:color w:val="000000" w:themeColor="text1"/>
          <w:lang w:val="en-US"/>
        </w:rPr>
        <w:t xml:space="preserve"> in long-term childhood and adolescence survivors</w:t>
      </w:r>
      <w:r w:rsidR="00D15F33" w:rsidRPr="00156087">
        <w:rPr>
          <w:rFonts w:cstheme="minorHAnsi"/>
          <w:color w:val="000000" w:themeColor="text1"/>
          <w:lang w:val="en-US"/>
        </w:rPr>
        <w:t>,</w:t>
      </w:r>
      <w:r w:rsidR="00155196" w:rsidRPr="00156087">
        <w:rPr>
          <w:rFonts w:cstheme="minorHAnsi"/>
          <w:color w:val="000000" w:themeColor="text1"/>
          <w:lang w:val="en-US"/>
        </w:rPr>
        <w:t xml:space="preserve"> it is well known that the prevalence of neuropathic pain in adult cancer survivors are </w:t>
      </w:r>
      <w:r w:rsidR="00CD5EC6" w:rsidRPr="00156087">
        <w:rPr>
          <w:rFonts w:cstheme="minorHAnsi"/>
          <w:color w:val="000000" w:themeColor="text1"/>
          <w:lang w:val="en-US"/>
        </w:rPr>
        <w:t xml:space="preserve">generally </w:t>
      </w:r>
      <w:r w:rsidR="00155196" w:rsidRPr="00156087">
        <w:rPr>
          <w:rFonts w:cstheme="minorHAnsi"/>
          <w:color w:val="000000" w:themeColor="text1"/>
          <w:lang w:val="en-US"/>
        </w:rPr>
        <w:t xml:space="preserve">high. </w:t>
      </w:r>
      <w:r w:rsidR="00CD5EC6" w:rsidRPr="00156087">
        <w:rPr>
          <w:rFonts w:cstheme="minorHAnsi"/>
          <w:color w:val="000000" w:themeColor="text1"/>
          <w:lang w:val="en-US"/>
        </w:rPr>
        <w:t xml:space="preserve">Thus, </w:t>
      </w:r>
      <w:r w:rsidR="00763829" w:rsidRPr="00156087">
        <w:rPr>
          <w:rFonts w:cstheme="minorHAnsi"/>
          <w:color w:val="000000" w:themeColor="text1"/>
          <w:lang w:val="en-US"/>
        </w:rPr>
        <w:t>up to</w:t>
      </w:r>
      <w:r w:rsidR="00CD5EC6" w:rsidRPr="00156087">
        <w:rPr>
          <w:rFonts w:cstheme="minorHAnsi"/>
          <w:color w:val="000000" w:themeColor="text1"/>
          <w:lang w:val="en-US"/>
        </w:rPr>
        <w:t xml:space="preserve"> 50 % of cancer survivors experience some degree of chronic neuropathic pain </w:t>
      </w:r>
      <w:r w:rsidR="00553C26">
        <w:rPr>
          <w:rFonts w:cstheme="minorHAnsi"/>
          <w:noProof/>
          <w:color w:val="000000" w:themeColor="text1"/>
          <w:lang w:val="en-US"/>
        </w:rPr>
        <w:t>[30]</w:t>
      </w:r>
      <w:r w:rsidR="00CC1DA1" w:rsidRPr="00156087">
        <w:rPr>
          <w:rFonts w:cstheme="minorHAnsi"/>
          <w:color w:val="000000" w:themeColor="text1"/>
          <w:lang w:val="en-US"/>
        </w:rPr>
        <w:t>,</w:t>
      </w:r>
      <w:r w:rsidR="00CD5EC6" w:rsidRPr="00156087">
        <w:rPr>
          <w:rFonts w:cstheme="minorHAnsi"/>
          <w:color w:val="000000" w:themeColor="text1"/>
          <w:lang w:val="en-US"/>
        </w:rPr>
        <w:t xml:space="preserve"> and </w:t>
      </w:r>
      <w:r w:rsidR="00CC1DA1" w:rsidRPr="00156087">
        <w:rPr>
          <w:rFonts w:cstheme="minorHAnsi"/>
          <w:color w:val="000000" w:themeColor="text1"/>
          <w:lang w:val="en-US"/>
        </w:rPr>
        <w:t xml:space="preserve">the </w:t>
      </w:r>
      <w:r w:rsidR="00CD5EC6" w:rsidRPr="00156087">
        <w:rPr>
          <w:rFonts w:cstheme="minorHAnsi"/>
          <w:color w:val="000000" w:themeColor="text1"/>
          <w:lang w:val="en-US"/>
        </w:rPr>
        <w:t xml:space="preserve">severity of </w:t>
      </w:r>
      <w:r w:rsidR="00A24539" w:rsidRPr="00156087">
        <w:rPr>
          <w:rFonts w:cstheme="minorHAnsi"/>
          <w:color w:val="000000" w:themeColor="text1"/>
          <w:lang w:val="en-US"/>
        </w:rPr>
        <w:t>neuropathic pain</w:t>
      </w:r>
      <w:r w:rsidR="00CD5EC6" w:rsidRPr="00156087">
        <w:rPr>
          <w:rFonts w:cstheme="minorHAnsi"/>
          <w:color w:val="000000" w:themeColor="text1"/>
          <w:lang w:val="en-US"/>
        </w:rPr>
        <w:t xml:space="preserve"> in cancer survivors is </w:t>
      </w:r>
      <w:r w:rsidR="00CC1DA1" w:rsidRPr="00156087">
        <w:rPr>
          <w:rFonts w:cstheme="minorHAnsi"/>
          <w:color w:val="000000" w:themeColor="text1"/>
          <w:lang w:val="en-US"/>
        </w:rPr>
        <w:t>associated</w:t>
      </w:r>
      <w:r w:rsidR="00CD5EC6" w:rsidRPr="00156087">
        <w:rPr>
          <w:rFonts w:cstheme="minorHAnsi"/>
          <w:color w:val="000000" w:themeColor="text1"/>
          <w:lang w:val="en-US"/>
        </w:rPr>
        <w:t xml:space="preserve"> with impairments</w:t>
      </w:r>
      <w:r w:rsidR="00A24539" w:rsidRPr="00156087">
        <w:rPr>
          <w:rFonts w:cstheme="minorHAnsi"/>
          <w:color w:val="000000" w:themeColor="text1"/>
          <w:lang w:val="en-US"/>
        </w:rPr>
        <w:t xml:space="preserve"> </w:t>
      </w:r>
      <w:r w:rsidR="00CD5EC6" w:rsidRPr="00156087">
        <w:rPr>
          <w:rFonts w:cstheme="minorHAnsi"/>
          <w:color w:val="000000" w:themeColor="text1"/>
          <w:lang w:val="en-US"/>
        </w:rPr>
        <w:t>in physical fu</w:t>
      </w:r>
      <w:r w:rsidR="002B6635" w:rsidRPr="00156087">
        <w:rPr>
          <w:rFonts w:cstheme="minorHAnsi"/>
          <w:color w:val="000000" w:themeColor="text1"/>
          <w:lang w:val="en-US"/>
        </w:rPr>
        <w:t xml:space="preserve">nctioning, emotional well-being, </w:t>
      </w:r>
      <w:r w:rsidR="00CD5EC6" w:rsidRPr="00156087">
        <w:rPr>
          <w:rFonts w:cstheme="minorHAnsi"/>
          <w:color w:val="000000" w:themeColor="text1"/>
          <w:lang w:val="en-US"/>
        </w:rPr>
        <w:t xml:space="preserve">sleep, and work </w:t>
      </w:r>
      <w:r w:rsidR="00553C26">
        <w:rPr>
          <w:rFonts w:cstheme="minorHAnsi"/>
          <w:noProof/>
          <w:color w:val="000000" w:themeColor="text1"/>
          <w:lang w:val="en-US"/>
        </w:rPr>
        <w:t>[29]</w:t>
      </w:r>
      <w:r w:rsidR="00CD5EC6" w:rsidRPr="00156087">
        <w:rPr>
          <w:rFonts w:cstheme="minorHAnsi"/>
          <w:color w:val="000000" w:themeColor="text1"/>
          <w:lang w:val="en-US"/>
        </w:rPr>
        <w:t xml:space="preserve">. </w:t>
      </w:r>
      <w:r w:rsidR="00155196" w:rsidRPr="00156087">
        <w:rPr>
          <w:rFonts w:cstheme="minorHAnsi"/>
          <w:color w:val="000000" w:themeColor="text1"/>
          <w:lang w:val="en-US"/>
        </w:rPr>
        <w:t xml:space="preserve">Further, the long-term reversibility of these chronic neuropathic pain conditions remains questionable, notably in </w:t>
      </w:r>
      <w:r w:rsidR="00CC1DA1" w:rsidRPr="00156087">
        <w:rPr>
          <w:rFonts w:cstheme="minorHAnsi"/>
          <w:color w:val="000000" w:themeColor="text1"/>
          <w:lang w:val="en-US"/>
        </w:rPr>
        <w:t xml:space="preserve">chemotherapy-induced peripheral neuropathies (CIPN) </w:t>
      </w:r>
      <w:r w:rsidR="00155196" w:rsidRPr="00156087">
        <w:rPr>
          <w:rFonts w:cstheme="minorHAnsi"/>
          <w:color w:val="000000" w:themeColor="text1"/>
          <w:lang w:val="en-US"/>
        </w:rPr>
        <w:t>which may persist or last several years after the end of anticancer chemotherapies. CIPN</w:t>
      </w:r>
      <w:r w:rsidR="00DA590B" w:rsidRPr="00156087">
        <w:rPr>
          <w:rFonts w:cstheme="minorHAnsi"/>
          <w:color w:val="000000" w:themeColor="text1"/>
          <w:lang w:val="en-US"/>
        </w:rPr>
        <w:t>s</w:t>
      </w:r>
      <w:r w:rsidR="00155196" w:rsidRPr="00156087">
        <w:rPr>
          <w:rFonts w:cstheme="minorHAnsi"/>
          <w:color w:val="000000" w:themeColor="text1"/>
          <w:lang w:val="en-US"/>
        </w:rPr>
        <w:t xml:space="preserve"> are also known to be problematic </w:t>
      </w:r>
      <w:r w:rsidR="00CC1DA1" w:rsidRPr="00156087">
        <w:rPr>
          <w:rFonts w:cstheme="minorHAnsi"/>
          <w:color w:val="000000" w:themeColor="text1"/>
          <w:lang w:val="en-US"/>
        </w:rPr>
        <w:t>in</w:t>
      </w:r>
      <w:r w:rsidR="00155196" w:rsidRPr="00156087">
        <w:rPr>
          <w:rFonts w:cstheme="minorHAnsi"/>
          <w:color w:val="000000" w:themeColor="text1"/>
          <w:lang w:val="en-US"/>
        </w:rPr>
        <w:t xml:space="preserve"> young patients (children, adolescents, and young adults), wh</w:t>
      </w:r>
      <w:r w:rsidR="00CC1DA1" w:rsidRPr="00156087">
        <w:rPr>
          <w:rFonts w:cstheme="minorHAnsi"/>
          <w:color w:val="000000" w:themeColor="text1"/>
          <w:lang w:val="en-US"/>
        </w:rPr>
        <w:t>ere</w:t>
      </w:r>
      <w:r w:rsidR="00155196" w:rsidRPr="00156087">
        <w:rPr>
          <w:rFonts w:cstheme="minorHAnsi"/>
          <w:color w:val="000000" w:themeColor="text1"/>
          <w:lang w:val="en-US"/>
        </w:rPr>
        <w:t xml:space="preserve"> </w:t>
      </w:r>
      <w:r w:rsidR="00CC1DA1" w:rsidRPr="00156087">
        <w:rPr>
          <w:rFonts w:cstheme="minorHAnsi"/>
          <w:color w:val="000000" w:themeColor="text1"/>
          <w:lang w:val="en-US"/>
        </w:rPr>
        <w:t xml:space="preserve">they </w:t>
      </w:r>
      <w:r w:rsidR="00155196" w:rsidRPr="00156087">
        <w:rPr>
          <w:rFonts w:cstheme="minorHAnsi"/>
          <w:color w:val="000000" w:themeColor="text1"/>
          <w:lang w:val="en-US"/>
        </w:rPr>
        <w:t xml:space="preserve">may interfere with development and social life and </w:t>
      </w:r>
      <w:r w:rsidR="00860363" w:rsidRPr="00156087">
        <w:rPr>
          <w:rFonts w:cstheme="minorHAnsi"/>
          <w:color w:val="000000" w:themeColor="text1"/>
          <w:lang w:val="en-US"/>
        </w:rPr>
        <w:t>be</w:t>
      </w:r>
      <w:r w:rsidR="00155196" w:rsidRPr="00156087">
        <w:rPr>
          <w:rFonts w:cstheme="minorHAnsi"/>
          <w:color w:val="000000" w:themeColor="text1"/>
          <w:lang w:val="en-US"/>
        </w:rPr>
        <w:t xml:space="preserve"> associated with comorbidities such as depression, insomnia and </w:t>
      </w:r>
      <w:r w:rsidR="000D2F8B" w:rsidRPr="00156087">
        <w:rPr>
          <w:rFonts w:cstheme="minorHAnsi"/>
          <w:color w:val="000000" w:themeColor="text1"/>
          <w:lang w:val="en-US"/>
        </w:rPr>
        <w:t>reduced</w:t>
      </w:r>
      <w:r w:rsidR="00155196" w:rsidRPr="00156087">
        <w:rPr>
          <w:rFonts w:cstheme="minorHAnsi"/>
          <w:color w:val="000000" w:themeColor="text1"/>
          <w:lang w:val="en-US"/>
        </w:rPr>
        <w:t xml:space="preserve"> </w:t>
      </w:r>
      <w:r w:rsidR="001A35BB" w:rsidRPr="00156087">
        <w:rPr>
          <w:rFonts w:cstheme="minorHAnsi"/>
          <w:color w:val="000000" w:themeColor="text1"/>
          <w:lang w:val="en-US"/>
        </w:rPr>
        <w:t xml:space="preserve">health related quality of life </w:t>
      </w:r>
      <w:r w:rsidR="00553C26">
        <w:rPr>
          <w:rFonts w:cstheme="minorHAnsi"/>
          <w:noProof/>
          <w:color w:val="000000" w:themeColor="text1"/>
          <w:lang w:val="en-US"/>
        </w:rPr>
        <w:t>[20;26]</w:t>
      </w:r>
      <w:r w:rsidR="00155196" w:rsidRPr="00156087">
        <w:rPr>
          <w:rFonts w:cstheme="minorHAnsi"/>
          <w:color w:val="000000" w:themeColor="text1"/>
          <w:lang w:val="en-US"/>
        </w:rPr>
        <w:t>. However, it is noteworthy that these long-term effects remain poorly studied.</w:t>
      </w:r>
      <w:r w:rsidR="006E00E4" w:rsidRPr="00156087">
        <w:rPr>
          <w:rFonts w:cstheme="minorHAnsi"/>
          <w:color w:val="000000" w:themeColor="text1"/>
          <w:lang w:val="en-US"/>
        </w:rPr>
        <w:t xml:space="preserve"> </w:t>
      </w:r>
      <w:r w:rsidR="00537DE7" w:rsidRPr="00156087">
        <w:rPr>
          <w:rFonts w:cstheme="minorHAnsi"/>
          <w:color w:val="000000" w:themeColor="text1"/>
          <w:lang w:val="en-US"/>
        </w:rPr>
        <w:t>I</w:t>
      </w:r>
      <w:r w:rsidR="006E00E4" w:rsidRPr="00156087">
        <w:rPr>
          <w:rFonts w:cstheme="minorHAnsi"/>
          <w:color w:val="000000" w:themeColor="text1"/>
          <w:lang w:val="en-US"/>
        </w:rPr>
        <w:t>n a Danish study of breast cancer survivors gabapentinoids and antidepressants were</w:t>
      </w:r>
      <w:r w:rsidR="007F3B61" w:rsidRPr="00156087">
        <w:rPr>
          <w:rFonts w:cstheme="minorHAnsi"/>
          <w:color w:val="000000" w:themeColor="text1"/>
          <w:lang w:val="en-US"/>
        </w:rPr>
        <w:t xml:space="preserve"> the</w:t>
      </w:r>
      <w:r w:rsidR="006E00E4" w:rsidRPr="00156087">
        <w:rPr>
          <w:rFonts w:cstheme="minorHAnsi"/>
          <w:color w:val="000000" w:themeColor="text1"/>
          <w:lang w:val="en-US"/>
        </w:rPr>
        <w:t xml:space="preserve"> most frequently used </w:t>
      </w:r>
      <w:r w:rsidR="00537DE7" w:rsidRPr="00156087">
        <w:rPr>
          <w:rFonts w:cstheme="minorHAnsi"/>
          <w:color w:val="000000" w:themeColor="text1"/>
          <w:lang w:val="en-US"/>
        </w:rPr>
        <w:t xml:space="preserve">analgesics </w:t>
      </w:r>
      <w:r w:rsidR="006E00E4" w:rsidRPr="00156087">
        <w:rPr>
          <w:rFonts w:cstheme="minorHAnsi"/>
          <w:color w:val="000000" w:themeColor="text1"/>
          <w:lang w:val="en-US"/>
        </w:rPr>
        <w:t xml:space="preserve">for treatment of neuropathic pain </w:t>
      </w:r>
      <w:r w:rsidR="00553C26">
        <w:rPr>
          <w:rFonts w:cstheme="minorHAnsi"/>
          <w:noProof/>
          <w:color w:val="000000" w:themeColor="text1"/>
          <w:lang w:val="en-US"/>
        </w:rPr>
        <w:t>[40]</w:t>
      </w:r>
      <w:r w:rsidR="006E00E4" w:rsidRPr="00156087">
        <w:rPr>
          <w:rFonts w:cstheme="minorHAnsi"/>
          <w:color w:val="000000" w:themeColor="text1"/>
          <w:lang w:val="en-US"/>
        </w:rPr>
        <w:t>. The effects of</w:t>
      </w:r>
      <w:r w:rsidR="00537DE7" w:rsidRPr="00156087">
        <w:rPr>
          <w:rFonts w:cstheme="minorHAnsi"/>
          <w:color w:val="000000" w:themeColor="text1"/>
          <w:lang w:val="en-US"/>
        </w:rPr>
        <w:t xml:space="preserve"> </w:t>
      </w:r>
      <w:r w:rsidR="006E00E4" w:rsidRPr="00156087">
        <w:rPr>
          <w:rFonts w:cstheme="minorHAnsi"/>
          <w:color w:val="000000" w:themeColor="text1"/>
          <w:lang w:val="en-US"/>
        </w:rPr>
        <w:t>gabapentin and pregabalin are well documented in</w:t>
      </w:r>
      <w:r w:rsidR="00537DE7" w:rsidRPr="00156087">
        <w:rPr>
          <w:rFonts w:cstheme="minorHAnsi"/>
          <w:color w:val="000000" w:themeColor="text1"/>
          <w:lang w:val="en-US"/>
        </w:rPr>
        <w:t xml:space="preserve"> different </w:t>
      </w:r>
      <w:r w:rsidR="006E00E4" w:rsidRPr="00156087">
        <w:rPr>
          <w:rFonts w:cstheme="minorHAnsi"/>
          <w:color w:val="000000" w:themeColor="text1"/>
          <w:lang w:val="en-US"/>
        </w:rPr>
        <w:t xml:space="preserve">non-malignant </w:t>
      </w:r>
      <w:r w:rsidR="00537DE7" w:rsidRPr="00156087">
        <w:rPr>
          <w:rFonts w:cstheme="minorHAnsi"/>
          <w:color w:val="000000" w:themeColor="text1"/>
          <w:lang w:val="en-US"/>
        </w:rPr>
        <w:t>neuropathic</w:t>
      </w:r>
      <w:r w:rsidR="006E00E4" w:rsidRPr="00156087">
        <w:rPr>
          <w:rFonts w:cstheme="minorHAnsi"/>
          <w:color w:val="000000" w:themeColor="text1"/>
          <w:lang w:val="en-US"/>
        </w:rPr>
        <w:t xml:space="preserve"> </w:t>
      </w:r>
      <w:r w:rsidR="00860363" w:rsidRPr="00156087">
        <w:rPr>
          <w:rFonts w:cstheme="minorHAnsi"/>
          <w:color w:val="000000" w:themeColor="text1"/>
          <w:lang w:val="en-US"/>
        </w:rPr>
        <w:t xml:space="preserve">pain </w:t>
      </w:r>
      <w:r w:rsidR="006E00E4" w:rsidRPr="00156087">
        <w:rPr>
          <w:rFonts w:cstheme="minorHAnsi"/>
          <w:color w:val="000000" w:themeColor="text1"/>
          <w:lang w:val="en-US"/>
        </w:rPr>
        <w:t>conditions (NNTs ranging from</w:t>
      </w:r>
      <w:r w:rsidR="00537DE7" w:rsidRPr="00156087">
        <w:rPr>
          <w:rFonts w:cstheme="minorHAnsi"/>
          <w:color w:val="000000" w:themeColor="text1"/>
          <w:lang w:val="en-US"/>
        </w:rPr>
        <w:t xml:space="preserve"> </w:t>
      </w:r>
      <w:r w:rsidR="006E00E4" w:rsidRPr="00156087">
        <w:rPr>
          <w:rFonts w:cstheme="minorHAnsi"/>
          <w:color w:val="000000" w:themeColor="text1"/>
          <w:lang w:val="en-US"/>
        </w:rPr>
        <w:t>4.2 to 6.4)</w:t>
      </w:r>
      <w:r w:rsidR="0079186B" w:rsidRPr="00156087">
        <w:rPr>
          <w:rFonts w:cstheme="minorHAnsi"/>
          <w:color w:val="000000" w:themeColor="text1"/>
          <w:lang w:val="en-US"/>
        </w:rPr>
        <w:t xml:space="preserve"> </w:t>
      </w:r>
      <w:r w:rsidR="00553C26">
        <w:rPr>
          <w:rFonts w:cstheme="minorHAnsi"/>
          <w:noProof/>
          <w:color w:val="000000" w:themeColor="text1"/>
          <w:lang w:val="en-US"/>
        </w:rPr>
        <w:t>[12;13]</w:t>
      </w:r>
      <w:r w:rsidR="006E00E4" w:rsidRPr="00156087">
        <w:rPr>
          <w:rFonts w:cstheme="minorHAnsi"/>
          <w:color w:val="000000" w:themeColor="text1"/>
          <w:lang w:val="en-US"/>
        </w:rPr>
        <w:t>, whereas the evidence for their use</w:t>
      </w:r>
      <w:r w:rsidR="00537DE7" w:rsidRPr="00156087">
        <w:rPr>
          <w:rFonts w:cstheme="minorHAnsi"/>
          <w:color w:val="000000" w:themeColor="text1"/>
          <w:lang w:val="en-US"/>
        </w:rPr>
        <w:t xml:space="preserve"> </w:t>
      </w:r>
      <w:r w:rsidR="006E00E4" w:rsidRPr="00156087">
        <w:rPr>
          <w:rFonts w:cstheme="minorHAnsi"/>
          <w:color w:val="000000" w:themeColor="text1"/>
          <w:lang w:val="en-US"/>
        </w:rPr>
        <w:t xml:space="preserve">for </w:t>
      </w:r>
      <w:r w:rsidR="00537DE7" w:rsidRPr="00156087">
        <w:rPr>
          <w:rFonts w:cstheme="minorHAnsi"/>
          <w:color w:val="000000" w:themeColor="text1"/>
          <w:lang w:val="en-US"/>
        </w:rPr>
        <w:t>neuropathic pain</w:t>
      </w:r>
      <w:r w:rsidR="006E00E4" w:rsidRPr="00156087">
        <w:rPr>
          <w:rFonts w:cstheme="minorHAnsi"/>
          <w:color w:val="000000" w:themeColor="text1"/>
          <w:lang w:val="en-US"/>
        </w:rPr>
        <w:t xml:space="preserve"> in cancer </w:t>
      </w:r>
      <w:r w:rsidR="00537DE7" w:rsidRPr="00156087">
        <w:rPr>
          <w:rFonts w:cstheme="minorHAnsi"/>
          <w:color w:val="000000" w:themeColor="text1"/>
          <w:lang w:val="en-US"/>
        </w:rPr>
        <w:t>and cancer survivors i</w:t>
      </w:r>
      <w:r w:rsidR="006E00E4" w:rsidRPr="00156087">
        <w:rPr>
          <w:rFonts w:cstheme="minorHAnsi"/>
          <w:color w:val="000000" w:themeColor="text1"/>
          <w:lang w:val="en-US"/>
        </w:rPr>
        <w:t xml:space="preserve">s weak. </w:t>
      </w:r>
      <w:r w:rsidR="001267DC" w:rsidRPr="00156087">
        <w:rPr>
          <w:rFonts w:cstheme="minorHAnsi"/>
          <w:color w:val="000000" w:themeColor="text1"/>
          <w:lang w:val="en-US"/>
        </w:rPr>
        <w:t xml:space="preserve">Of specific note, is the fact that the criteria </w:t>
      </w:r>
      <w:r w:rsidR="000956AE" w:rsidRPr="00156087">
        <w:rPr>
          <w:rFonts w:cstheme="minorHAnsi"/>
          <w:color w:val="000000" w:themeColor="text1"/>
          <w:lang w:val="en-US"/>
        </w:rPr>
        <w:t xml:space="preserve">from the International Association for the Study of Pain (IASP) </w:t>
      </w:r>
      <w:r w:rsidR="001267DC" w:rsidRPr="00156087">
        <w:rPr>
          <w:rFonts w:cstheme="minorHAnsi"/>
          <w:color w:val="000000" w:themeColor="text1"/>
          <w:lang w:val="en-US"/>
        </w:rPr>
        <w:t xml:space="preserve">have not been developed to address neuropathic pain due to cancer or cancer treatment </w:t>
      </w:r>
      <w:r w:rsidR="00553C26">
        <w:rPr>
          <w:rFonts w:cstheme="minorHAnsi"/>
          <w:noProof/>
          <w:color w:val="000000" w:themeColor="text1"/>
          <w:lang w:val="en-US"/>
        </w:rPr>
        <w:t>[22]</w:t>
      </w:r>
      <w:r w:rsidR="001267DC" w:rsidRPr="00156087">
        <w:rPr>
          <w:rFonts w:cstheme="minorHAnsi"/>
          <w:color w:val="000000" w:themeColor="text1"/>
          <w:lang w:val="en-US"/>
        </w:rPr>
        <w:t xml:space="preserve">. At the moment, there exist no other criteria with a defined clinical consensus or empirical evidence, although an alternative approach developing different diagnostic criteria for cancer-related neuropathic pain </w:t>
      </w:r>
      <w:r w:rsidR="006E5CF8" w:rsidRPr="00156087">
        <w:rPr>
          <w:rFonts w:cstheme="minorHAnsi"/>
          <w:color w:val="000000" w:themeColor="text1"/>
          <w:lang w:val="en-US"/>
        </w:rPr>
        <w:t>may be</w:t>
      </w:r>
      <w:r w:rsidR="001267DC" w:rsidRPr="00156087">
        <w:rPr>
          <w:rFonts w:cstheme="minorHAnsi"/>
          <w:color w:val="000000" w:themeColor="text1"/>
          <w:lang w:val="en-US"/>
        </w:rPr>
        <w:t xml:space="preserve"> underway </w:t>
      </w:r>
      <w:r w:rsidR="00BE0C63" w:rsidRPr="00156087">
        <w:rPr>
          <w:rFonts w:cstheme="minorHAnsi"/>
          <w:noProof/>
          <w:color w:val="000000" w:themeColor="text1"/>
          <w:lang w:val="en-US"/>
        </w:rPr>
        <w:t>[6]</w:t>
      </w:r>
      <w:r w:rsidR="001267DC" w:rsidRPr="00156087">
        <w:rPr>
          <w:rFonts w:cstheme="minorHAnsi"/>
          <w:color w:val="000000" w:themeColor="text1"/>
          <w:lang w:val="en-US"/>
        </w:rPr>
        <w:t xml:space="preserve">. </w:t>
      </w:r>
      <w:r w:rsidR="006A2123" w:rsidRPr="00156087">
        <w:rPr>
          <w:rFonts w:cstheme="minorHAnsi"/>
          <w:color w:val="000000" w:themeColor="text1"/>
          <w:lang w:val="en-US"/>
        </w:rPr>
        <w:t>However, the increased prevalence of use of gabapentinoids also raises the issue of addicti</w:t>
      </w:r>
      <w:r w:rsidR="008D7FD7" w:rsidRPr="00156087">
        <w:rPr>
          <w:rFonts w:cstheme="minorHAnsi"/>
          <w:color w:val="000000" w:themeColor="text1"/>
          <w:lang w:val="en-US"/>
        </w:rPr>
        <w:t xml:space="preserve">ve </w:t>
      </w:r>
      <w:proofErr w:type="spellStart"/>
      <w:r w:rsidR="008D7FD7" w:rsidRPr="00156087">
        <w:rPr>
          <w:rFonts w:cstheme="minorHAnsi"/>
          <w:color w:val="000000" w:themeColor="text1"/>
          <w:lang w:val="en-US"/>
        </w:rPr>
        <w:t>behaviour</w:t>
      </w:r>
      <w:proofErr w:type="spellEnd"/>
      <w:r w:rsidR="00B37368" w:rsidRPr="00156087">
        <w:rPr>
          <w:rFonts w:cstheme="minorHAnsi"/>
          <w:color w:val="000000" w:themeColor="text1"/>
          <w:lang w:val="en-US"/>
        </w:rPr>
        <w:t>,</w:t>
      </w:r>
      <w:r w:rsidR="006A2123" w:rsidRPr="00156087">
        <w:rPr>
          <w:rFonts w:cstheme="minorHAnsi"/>
          <w:color w:val="000000" w:themeColor="text1"/>
          <w:lang w:val="en-US"/>
        </w:rPr>
        <w:t xml:space="preserve"> as there is increasing evidence for the addictive properties of these drugs </w:t>
      </w:r>
      <w:r w:rsidR="00B14874" w:rsidRPr="00156087">
        <w:rPr>
          <w:rFonts w:cstheme="minorHAnsi"/>
          <w:noProof/>
          <w:color w:val="000000" w:themeColor="text1"/>
          <w:lang w:val="en-US"/>
        </w:rPr>
        <w:t>[3]</w:t>
      </w:r>
      <w:r w:rsidR="006A2123" w:rsidRPr="00156087">
        <w:rPr>
          <w:rFonts w:cstheme="minorHAnsi"/>
          <w:color w:val="000000" w:themeColor="text1"/>
          <w:lang w:val="en-US"/>
        </w:rPr>
        <w:t xml:space="preserve">.  </w:t>
      </w:r>
      <w:r w:rsidR="004A049E" w:rsidRPr="00156087">
        <w:rPr>
          <w:rFonts w:cstheme="minorHAnsi"/>
          <w:color w:val="000000" w:themeColor="text1"/>
          <w:lang w:val="en-US"/>
        </w:rPr>
        <w:t xml:space="preserve"> </w:t>
      </w:r>
    </w:p>
    <w:p w14:paraId="2D5F29E3" w14:textId="77777777" w:rsidR="008D6F82" w:rsidRPr="00156087" w:rsidRDefault="008D6F82" w:rsidP="008D6F82">
      <w:pPr>
        <w:spacing w:after="0" w:line="360" w:lineRule="auto"/>
        <w:rPr>
          <w:rFonts w:cstheme="minorHAnsi"/>
          <w:color w:val="000000" w:themeColor="text1"/>
          <w:lang w:val="en-US"/>
        </w:rPr>
      </w:pPr>
    </w:p>
    <w:p w14:paraId="5B5346BD" w14:textId="5479ED4F" w:rsidR="004C1EF7" w:rsidRPr="00156087" w:rsidRDefault="004C1EF7" w:rsidP="002926F1">
      <w:pPr>
        <w:spacing w:after="0" w:line="360" w:lineRule="auto"/>
        <w:rPr>
          <w:rFonts w:cstheme="minorHAnsi"/>
          <w:color w:val="000000" w:themeColor="text1"/>
          <w:lang w:val="en-US"/>
        </w:rPr>
      </w:pPr>
      <w:r w:rsidRPr="00156087">
        <w:rPr>
          <w:rFonts w:cstheme="minorHAnsi"/>
          <w:color w:val="000000" w:themeColor="text1"/>
          <w:lang w:val="en-US"/>
        </w:rPr>
        <w:t xml:space="preserve">The major strengths of the present study are </w:t>
      </w:r>
      <w:r w:rsidR="006E5CF8" w:rsidRPr="00156087">
        <w:rPr>
          <w:rFonts w:cstheme="minorHAnsi"/>
          <w:color w:val="000000" w:themeColor="text1"/>
          <w:lang w:val="en-US"/>
        </w:rPr>
        <w:t xml:space="preserve">that </w:t>
      </w:r>
      <w:r w:rsidRPr="00156087">
        <w:rPr>
          <w:rFonts w:cstheme="minorHAnsi"/>
          <w:color w:val="000000" w:themeColor="text1"/>
          <w:lang w:val="en-US"/>
        </w:rPr>
        <w:t xml:space="preserve">data </w:t>
      </w:r>
      <w:r w:rsidR="006E5CF8" w:rsidRPr="00156087">
        <w:rPr>
          <w:rFonts w:cstheme="minorHAnsi"/>
          <w:color w:val="000000" w:themeColor="text1"/>
          <w:lang w:val="en-US"/>
        </w:rPr>
        <w:t xml:space="preserve">are derived </w:t>
      </w:r>
      <w:r w:rsidRPr="00156087">
        <w:rPr>
          <w:rFonts w:cstheme="minorHAnsi"/>
          <w:color w:val="000000" w:themeColor="text1"/>
          <w:lang w:val="en-US"/>
        </w:rPr>
        <w:t>from complete national registries</w:t>
      </w:r>
      <w:r w:rsidR="006E5CF8" w:rsidRPr="00156087">
        <w:rPr>
          <w:rFonts w:cstheme="minorHAnsi"/>
          <w:color w:val="000000" w:themeColor="text1"/>
          <w:lang w:val="en-US"/>
        </w:rPr>
        <w:t xml:space="preserve"> and</w:t>
      </w:r>
      <w:r w:rsidRPr="00156087">
        <w:rPr>
          <w:rFonts w:cstheme="minorHAnsi"/>
          <w:color w:val="000000" w:themeColor="text1"/>
          <w:lang w:val="en-US"/>
        </w:rPr>
        <w:t xml:space="preserve"> comparison</w:t>
      </w:r>
      <w:r w:rsidR="006E5CF8" w:rsidRPr="00156087">
        <w:rPr>
          <w:rFonts w:cstheme="minorHAnsi"/>
          <w:color w:val="000000" w:themeColor="text1"/>
          <w:lang w:val="en-US"/>
        </w:rPr>
        <w:t xml:space="preserve">s are made </w:t>
      </w:r>
      <w:r w:rsidRPr="00156087">
        <w:rPr>
          <w:rFonts w:cstheme="minorHAnsi"/>
          <w:color w:val="000000" w:themeColor="text1"/>
          <w:lang w:val="en-US"/>
        </w:rPr>
        <w:t xml:space="preserve">with the </w:t>
      </w:r>
      <w:r w:rsidR="006E5CF8" w:rsidRPr="00156087">
        <w:rPr>
          <w:rFonts w:cstheme="minorHAnsi"/>
          <w:color w:val="000000" w:themeColor="text1"/>
          <w:lang w:val="en-US"/>
        </w:rPr>
        <w:t xml:space="preserve">age- and gender adjusted </w:t>
      </w:r>
      <w:r w:rsidRPr="00156087">
        <w:rPr>
          <w:rFonts w:cstheme="minorHAnsi"/>
          <w:color w:val="000000" w:themeColor="text1"/>
          <w:lang w:val="en-US"/>
        </w:rPr>
        <w:t>general population</w:t>
      </w:r>
      <w:r w:rsidR="00774B00" w:rsidRPr="00156087">
        <w:rPr>
          <w:rFonts w:cstheme="minorHAnsi"/>
          <w:color w:val="000000" w:themeColor="text1"/>
          <w:lang w:val="en-US"/>
        </w:rPr>
        <w:t>, thus recall bias and selection bias are avoided</w:t>
      </w:r>
      <w:r w:rsidRPr="00156087">
        <w:rPr>
          <w:rFonts w:cstheme="minorHAnsi"/>
          <w:color w:val="000000" w:themeColor="text1"/>
          <w:lang w:val="en-US"/>
        </w:rPr>
        <w:t>. The major limitation of the study is inherent to pharmaco</w:t>
      </w:r>
      <w:r w:rsidR="00B03C03" w:rsidRPr="00156087">
        <w:rPr>
          <w:rFonts w:cstheme="minorHAnsi"/>
          <w:color w:val="000000" w:themeColor="text1"/>
          <w:lang w:val="en-US"/>
        </w:rPr>
        <w:t>-</w:t>
      </w:r>
      <w:r w:rsidRPr="00156087">
        <w:rPr>
          <w:rFonts w:cstheme="minorHAnsi"/>
          <w:color w:val="000000" w:themeColor="text1"/>
          <w:lang w:val="en-US"/>
        </w:rPr>
        <w:t xml:space="preserve">epidemiological studies based on data on dispensed drugs; it is not known whether all drugs are used by the recipient </w:t>
      </w:r>
      <w:r w:rsidRPr="00156087">
        <w:rPr>
          <w:rFonts w:cstheme="minorHAnsi"/>
          <w:color w:val="000000" w:themeColor="text1"/>
          <w:lang w:val="en-US"/>
        </w:rPr>
        <w:lastRenderedPageBreak/>
        <w:t xml:space="preserve">at a time </w:t>
      </w:r>
      <w:r w:rsidR="006E5CF8" w:rsidRPr="00156087">
        <w:rPr>
          <w:rFonts w:cstheme="minorHAnsi"/>
          <w:color w:val="000000" w:themeColor="text1"/>
          <w:lang w:val="en-US"/>
        </w:rPr>
        <w:t xml:space="preserve">point </w:t>
      </w:r>
      <w:r w:rsidRPr="00156087">
        <w:rPr>
          <w:rFonts w:cstheme="minorHAnsi"/>
          <w:color w:val="000000" w:themeColor="text1"/>
          <w:lang w:val="en-US"/>
        </w:rPr>
        <w:t xml:space="preserve">close to the </w:t>
      </w:r>
      <w:r w:rsidR="000956AE" w:rsidRPr="00156087">
        <w:rPr>
          <w:rFonts w:cstheme="minorHAnsi"/>
          <w:color w:val="000000" w:themeColor="text1"/>
          <w:lang w:val="en-US"/>
        </w:rPr>
        <w:t xml:space="preserve">filling </w:t>
      </w:r>
      <w:r w:rsidR="00B03C03" w:rsidRPr="00156087">
        <w:rPr>
          <w:rFonts w:cstheme="minorHAnsi"/>
          <w:color w:val="000000" w:themeColor="text1"/>
          <w:lang w:val="en-US"/>
        </w:rPr>
        <w:t xml:space="preserve">of </w:t>
      </w:r>
      <w:r w:rsidR="000956AE" w:rsidRPr="00156087">
        <w:rPr>
          <w:rFonts w:cstheme="minorHAnsi"/>
          <w:color w:val="000000" w:themeColor="text1"/>
          <w:lang w:val="en-US"/>
        </w:rPr>
        <w:t>the prescription</w:t>
      </w:r>
      <w:r w:rsidRPr="00156087">
        <w:rPr>
          <w:rFonts w:cstheme="minorHAnsi"/>
          <w:color w:val="000000" w:themeColor="text1"/>
          <w:lang w:val="en-US"/>
        </w:rPr>
        <w:t>.</w:t>
      </w:r>
      <w:r w:rsidR="0061158C" w:rsidRPr="00156087">
        <w:rPr>
          <w:rFonts w:cstheme="minorHAnsi"/>
          <w:color w:val="000000" w:themeColor="text1"/>
          <w:lang w:val="en-US"/>
        </w:rPr>
        <w:t xml:space="preserve"> </w:t>
      </w:r>
      <w:r w:rsidRPr="00156087">
        <w:rPr>
          <w:rFonts w:cstheme="minorHAnsi"/>
          <w:color w:val="000000" w:themeColor="text1"/>
          <w:lang w:val="en-US"/>
        </w:rPr>
        <w:t xml:space="preserve">If </w:t>
      </w:r>
      <w:proofErr w:type="gramStart"/>
      <w:r w:rsidRPr="00156087">
        <w:rPr>
          <w:rFonts w:cstheme="minorHAnsi"/>
          <w:color w:val="000000" w:themeColor="text1"/>
          <w:lang w:val="en-US"/>
        </w:rPr>
        <w:t>not</w:t>
      </w:r>
      <w:proofErr w:type="gramEnd"/>
      <w:r w:rsidRPr="00156087">
        <w:rPr>
          <w:rFonts w:cstheme="minorHAnsi"/>
          <w:color w:val="000000" w:themeColor="text1"/>
          <w:lang w:val="en-US"/>
        </w:rPr>
        <w:t xml:space="preserve"> all drugs are used by the recipient</w:t>
      </w:r>
      <w:r w:rsidR="00B03C03" w:rsidRPr="00156087">
        <w:rPr>
          <w:rFonts w:cstheme="minorHAnsi"/>
          <w:color w:val="000000" w:themeColor="text1"/>
          <w:lang w:val="en-US"/>
        </w:rPr>
        <w:t>,</w:t>
      </w:r>
      <w:r w:rsidRPr="00156087">
        <w:rPr>
          <w:rFonts w:cstheme="minorHAnsi"/>
          <w:color w:val="000000" w:themeColor="text1"/>
          <w:lang w:val="en-US"/>
        </w:rPr>
        <w:t xml:space="preserve"> </w:t>
      </w:r>
      <w:r w:rsidR="0061158C" w:rsidRPr="00156087">
        <w:rPr>
          <w:rFonts w:cstheme="minorHAnsi"/>
          <w:color w:val="000000" w:themeColor="text1"/>
          <w:lang w:val="en-US"/>
        </w:rPr>
        <w:t>but either stored for future use or sold/given to third parties</w:t>
      </w:r>
      <w:r w:rsidR="00B03C03" w:rsidRPr="00156087">
        <w:rPr>
          <w:rFonts w:cstheme="minorHAnsi"/>
          <w:color w:val="000000" w:themeColor="text1"/>
          <w:lang w:val="en-US"/>
        </w:rPr>
        <w:t>,</w:t>
      </w:r>
      <w:r w:rsidR="0061158C" w:rsidRPr="00156087">
        <w:rPr>
          <w:rFonts w:cstheme="minorHAnsi"/>
          <w:color w:val="000000" w:themeColor="text1"/>
          <w:lang w:val="en-US"/>
        </w:rPr>
        <w:t xml:space="preserve"> </w:t>
      </w:r>
      <w:r w:rsidRPr="00156087">
        <w:rPr>
          <w:rFonts w:cstheme="minorHAnsi"/>
          <w:color w:val="000000" w:themeColor="text1"/>
          <w:lang w:val="en-US"/>
        </w:rPr>
        <w:t xml:space="preserve">the data will overestimate both quantities of drugs and possibly the period </w:t>
      </w:r>
      <w:proofErr w:type="spellStart"/>
      <w:r w:rsidRPr="00156087">
        <w:rPr>
          <w:rFonts w:cstheme="minorHAnsi"/>
          <w:color w:val="000000" w:themeColor="text1"/>
          <w:lang w:val="en-US"/>
        </w:rPr>
        <w:t>prevalences</w:t>
      </w:r>
      <w:proofErr w:type="spellEnd"/>
      <w:r w:rsidRPr="00156087">
        <w:rPr>
          <w:rFonts w:cstheme="minorHAnsi"/>
          <w:color w:val="000000" w:themeColor="text1"/>
          <w:lang w:val="en-US"/>
        </w:rPr>
        <w:t xml:space="preserve"> of drug use</w:t>
      </w:r>
      <w:r w:rsidR="0061158C" w:rsidRPr="00156087">
        <w:rPr>
          <w:rFonts w:cstheme="minorHAnsi"/>
          <w:color w:val="000000" w:themeColor="text1"/>
          <w:lang w:val="en-US"/>
        </w:rPr>
        <w:t xml:space="preserve"> in the study population</w:t>
      </w:r>
      <w:r w:rsidRPr="00156087">
        <w:rPr>
          <w:rFonts w:cstheme="minorHAnsi"/>
          <w:color w:val="000000" w:themeColor="text1"/>
          <w:lang w:val="en-US"/>
        </w:rPr>
        <w:t>.</w:t>
      </w:r>
      <w:r w:rsidR="000956AE" w:rsidRPr="00156087">
        <w:rPr>
          <w:rFonts w:cstheme="minorHAnsi"/>
          <w:color w:val="000000" w:themeColor="text1"/>
          <w:lang w:val="en-US"/>
        </w:rPr>
        <w:t xml:space="preserve"> However, this is probably less relevant in studies of repeated prescriptions and persistent use.</w:t>
      </w:r>
      <w:r w:rsidRPr="00156087">
        <w:rPr>
          <w:rFonts w:cstheme="minorHAnsi"/>
          <w:color w:val="000000" w:themeColor="text1"/>
          <w:lang w:val="en-US"/>
        </w:rPr>
        <w:t xml:space="preserve"> </w:t>
      </w:r>
      <w:r w:rsidR="006E5CF8" w:rsidRPr="00156087">
        <w:rPr>
          <w:rFonts w:cstheme="minorHAnsi"/>
          <w:color w:val="000000" w:themeColor="text1"/>
          <w:lang w:val="en-US"/>
        </w:rPr>
        <w:t>Due to</w:t>
      </w:r>
      <w:r w:rsidR="00C64763" w:rsidRPr="00156087">
        <w:rPr>
          <w:rFonts w:cstheme="minorHAnsi"/>
          <w:color w:val="000000" w:themeColor="text1"/>
          <w:lang w:val="en-US"/>
        </w:rPr>
        <w:t xml:space="preserve"> over the counter sales of paracetamol and NSAIDs</w:t>
      </w:r>
      <w:r w:rsidR="000D2F8B" w:rsidRPr="00156087">
        <w:rPr>
          <w:rFonts w:cstheme="minorHAnsi"/>
          <w:color w:val="000000" w:themeColor="text1"/>
          <w:lang w:val="en-US"/>
        </w:rPr>
        <w:t xml:space="preserve">, these drugs </w:t>
      </w:r>
      <w:r w:rsidR="006E5CF8" w:rsidRPr="00156087">
        <w:rPr>
          <w:rFonts w:cstheme="minorHAnsi"/>
          <w:color w:val="000000" w:themeColor="text1"/>
          <w:lang w:val="en-US"/>
        </w:rPr>
        <w:t>we</w:t>
      </w:r>
      <w:r w:rsidR="00C64763" w:rsidRPr="00156087">
        <w:rPr>
          <w:rFonts w:cstheme="minorHAnsi"/>
          <w:color w:val="000000" w:themeColor="text1"/>
          <w:lang w:val="en-US"/>
        </w:rPr>
        <w:t xml:space="preserve">re not captured by </w:t>
      </w:r>
      <w:proofErr w:type="spellStart"/>
      <w:r w:rsidR="00C64763" w:rsidRPr="00156087">
        <w:rPr>
          <w:rFonts w:cstheme="minorHAnsi"/>
          <w:color w:val="000000" w:themeColor="text1"/>
          <w:lang w:val="en-US"/>
        </w:rPr>
        <w:t>NorPD</w:t>
      </w:r>
      <w:proofErr w:type="spellEnd"/>
      <w:r w:rsidR="006E5CF8" w:rsidRPr="00156087">
        <w:rPr>
          <w:rFonts w:cstheme="minorHAnsi"/>
          <w:color w:val="000000" w:themeColor="text1"/>
          <w:lang w:val="en-US"/>
        </w:rPr>
        <w:t xml:space="preserve"> and</w:t>
      </w:r>
      <w:r w:rsidR="00C64763" w:rsidRPr="00156087">
        <w:rPr>
          <w:rFonts w:cstheme="minorHAnsi"/>
          <w:color w:val="000000" w:themeColor="text1"/>
          <w:lang w:val="en-US"/>
        </w:rPr>
        <w:t xml:space="preserve"> the consumption of these drugs is underestimated in both the study population and the general population. </w:t>
      </w:r>
      <w:r w:rsidR="006A2123" w:rsidRPr="00156087">
        <w:rPr>
          <w:rFonts w:cstheme="minorHAnsi"/>
          <w:color w:val="000000" w:themeColor="text1"/>
          <w:lang w:val="en-US"/>
        </w:rPr>
        <w:t xml:space="preserve">The descriptive nature of the study does not allow conclusions about causality in the relationship between the cancer disease, pain and drug use. </w:t>
      </w:r>
      <w:r w:rsidR="000F1255" w:rsidRPr="00156087">
        <w:rPr>
          <w:rFonts w:cstheme="minorHAnsi"/>
          <w:color w:val="000000" w:themeColor="text1"/>
          <w:lang w:val="en-US"/>
        </w:rPr>
        <w:t xml:space="preserve">Furthermore, the lack of background variables related to details about the cancer treatment and socioeconomic status does not allow detailed investigation of risk factors for opioid use in the study population. </w:t>
      </w:r>
      <w:r w:rsidR="002926F1" w:rsidRPr="00156087">
        <w:rPr>
          <w:rFonts w:cstheme="minorHAnsi"/>
          <w:color w:val="000000" w:themeColor="text1"/>
          <w:lang w:val="en-US"/>
        </w:rPr>
        <w:t>T</w:t>
      </w:r>
      <w:r w:rsidR="002926F1" w:rsidRPr="00156087">
        <w:rPr>
          <w:color w:val="000000" w:themeColor="text1"/>
          <w:lang w:val="en-US"/>
        </w:rPr>
        <w:t xml:space="preserve">he age-span in the study population makes the study population more heterogeneous than if it was narrowed down to a smaller age-span, </w:t>
      </w:r>
      <w:r w:rsidR="00B03C03" w:rsidRPr="00156087">
        <w:rPr>
          <w:color w:val="000000" w:themeColor="text1"/>
          <w:lang w:val="en-US"/>
        </w:rPr>
        <w:t>which certainly</w:t>
      </w:r>
      <w:r w:rsidR="002926F1" w:rsidRPr="00156087">
        <w:rPr>
          <w:color w:val="000000" w:themeColor="text1"/>
          <w:lang w:val="en-US"/>
        </w:rPr>
        <w:t xml:space="preserve"> is a potential weakness. Thus, the </w:t>
      </w:r>
      <w:r w:rsidR="00B03C03" w:rsidRPr="00156087">
        <w:rPr>
          <w:color w:val="000000" w:themeColor="text1"/>
          <w:lang w:val="en-US"/>
        </w:rPr>
        <w:t>stratification</w:t>
      </w:r>
      <w:r w:rsidR="002926F1" w:rsidRPr="00156087">
        <w:rPr>
          <w:color w:val="000000" w:themeColor="text1"/>
          <w:lang w:val="en-US"/>
        </w:rPr>
        <w:t xml:space="preserve"> </w:t>
      </w:r>
      <w:r w:rsidR="00B03C03" w:rsidRPr="00156087">
        <w:rPr>
          <w:color w:val="000000" w:themeColor="text1"/>
          <w:lang w:val="en-US"/>
        </w:rPr>
        <w:t>of</w:t>
      </w:r>
      <w:r w:rsidR="002926F1" w:rsidRPr="00156087">
        <w:rPr>
          <w:color w:val="000000" w:themeColor="text1"/>
          <w:lang w:val="en-US"/>
        </w:rPr>
        <w:t xml:space="preserve"> the study population according to disease (figure 3) and age at both diagnosis and follow-up (table 2) are crucial</w:t>
      </w:r>
      <w:r w:rsidR="00B03C03" w:rsidRPr="00156087">
        <w:rPr>
          <w:color w:val="000000" w:themeColor="text1"/>
          <w:lang w:val="en-US"/>
        </w:rPr>
        <w:t xml:space="preserve"> as</w:t>
      </w:r>
      <w:r w:rsidR="00DA44CF" w:rsidRPr="00156087">
        <w:rPr>
          <w:color w:val="000000" w:themeColor="text1"/>
          <w:lang w:val="en-US"/>
        </w:rPr>
        <w:t xml:space="preserve"> the</w:t>
      </w:r>
      <w:r w:rsidR="00B03C03" w:rsidRPr="00156087">
        <w:rPr>
          <w:color w:val="000000" w:themeColor="text1"/>
          <w:lang w:val="en-US"/>
        </w:rPr>
        <w:t>se</w:t>
      </w:r>
      <w:r w:rsidR="00DA44CF" w:rsidRPr="00156087">
        <w:rPr>
          <w:color w:val="000000" w:themeColor="text1"/>
          <w:lang w:val="en-US"/>
        </w:rPr>
        <w:t xml:space="preserve"> analyses showed a consistent pattern across age groups</w:t>
      </w:r>
      <w:r w:rsidR="00B03C03" w:rsidRPr="00156087">
        <w:rPr>
          <w:color w:val="000000" w:themeColor="text1"/>
          <w:lang w:val="en-US"/>
        </w:rPr>
        <w:t>.</w:t>
      </w:r>
      <w:r w:rsidR="00DA44CF" w:rsidRPr="00156087">
        <w:rPr>
          <w:color w:val="000000" w:themeColor="text1"/>
          <w:lang w:val="en-US"/>
        </w:rPr>
        <w:t xml:space="preserve"> </w:t>
      </w:r>
      <w:r w:rsidR="00B03C03" w:rsidRPr="00156087">
        <w:rPr>
          <w:color w:val="000000" w:themeColor="text1"/>
          <w:lang w:val="en-US"/>
        </w:rPr>
        <w:t xml:space="preserve">Therefore, </w:t>
      </w:r>
      <w:r w:rsidR="00DA44CF" w:rsidRPr="00156087">
        <w:rPr>
          <w:color w:val="000000" w:themeColor="text1"/>
          <w:lang w:val="en-US"/>
        </w:rPr>
        <w:t xml:space="preserve">the large age-span in the study population is unlikely to have major impact on the overall findings and conclusions </w:t>
      </w:r>
      <w:r w:rsidR="00B03C03" w:rsidRPr="00156087">
        <w:rPr>
          <w:color w:val="000000" w:themeColor="text1"/>
          <w:lang w:val="en-US"/>
        </w:rPr>
        <w:t>of</w:t>
      </w:r>
      <w:r w:rsidR="00DA44CF" w:rsidRPr="00156087">
        <w:rPr>
          <w:color w:val="000000" w:themeColor="text1"/>
          <w:lang w:val="en-US"/>
        </w:rPr>
        <w:t xml:space="preserve"> the study. </w:t>
      </w:r>
    </w:p>
    <w:p w14:paraId="29993969" w14:textId="77777777" w:rsidR="00DA44CF" w:rsidRPr="00156087" w:rsidRDefault="00DA44CF" w:rsidP="008D6F82">
      <w:pPr>
        <w:spacing w:after="0" w:line="360" w:lineRule="auto"/>
        <w:rPr>
          <w:rFonts w:cstheme="minorHAnsi"/>
          <w:color w:val="000000" w:themeColor="text1"/>
          <w:lang w:val="en-US"/>
        </w:rPr>
      </w:pPr>
    </w:p>
    <w:p w14:paraId="48D12B75" w14:textId="153BBB24" w:rsidR="004C1EF7" w:rsidRPr="00156087" w:rsidRDefault="00271B33" w:rsidP="009D123F">
      <w:pPr>
        <w:spacing w:after="0" w:line="360" w:lineRule="auto"/>
        <w:rPr>
          <w:rFonts w:cstheme="minorHAnsi"/>
          <w:color w:val="000000" w:themeColor="text1"/>
          <w:lang w:val="en-US"/>
        </w:rPr>
      </w:pPr>
      <w:r w:rsidRPr="00156087">
        <w:rPr>
          <w:rFonts w:cstheme="minorHAnsi"/>
          <w:color w:val="000000" w:themeColor="text1"/>
          <w:lang w:val="en-US"/>
        </w:rPr>
        <w:t xml:space="preserve">In </w:t>
      </w:r>
      <w:r w:rsidR="0061158C" w:rsidRPr="00156087">
        <w:rPr>
          <w:rFonts w:cstheme="minorHAnsi"/>
          <w:color w:val="000000" w:themeColor="text1"/>
          <w:lang w:val="en-US"/>
        </w:rPr>
        <w:t>conclusion,</w:t>
      </w:r>
      <w:r w:rsidR="007F3B61" w:rsidRPr="00156087">
        <w:rPr>
          <w:rFonts w:cstheme="minorHAnsi"/>
          <w:color w:val="000000" w:themeColor="text1"/>
          <w:lang w:val="en-US"/>
        </w:rPr>
        <w:t xml:space="preserve"> this study has demonstrated a moderately increased use of analgesics in adult long-te</w:t>
      </w:r>
      <w:r w:rsidR="00B03C03" w:rsidRPr="00156087">
        <w:rPr>
          <w:rFonts w:cstheme="minorHAnsi"/>
          <w:color w:val="000000" w:themeColor="text1"/>
          <w:lang w:val="en-US"/>
        </w:rPr>
        <w:t>rm</w:t>
      </w:r>
      <w:r w:rsidR="007F3B61" w:rsidRPr="00156087">
        <w:rPr>
          <w:rFonts w:cstheme="minorHAnsi"/>
          <w:color w:val="000000" w:themeColor="text1"/>
          <w:lang w:val="en-US"/>
        </w:rPr>
        <w:t xml:space="preserve"> survivors of cancer in </w:t>
      </w:r>
      <w:r w:rsidR="00690522" w:rsidRPr="00156087">
        <w:rPr>
          <w:rFonts w:cstheme="minorHAnsi"/>
          <w:color w:val="000000" w:themeColor="text1"/>
          <w:lang w:val="en-US"/>
        </w:rPr>
        <w:t>CAEA</w:t>
      </w:r>
      <w:r w:rsidR="007F3B61" w:rsidRPr="00156087">
        <w:rPr>
          <w:rFonts w:cstheme="minorHAnsi"/>
          <w:color w:val="000000" w:themeColor="text1"/>
          <w:lang w:val="en-US"/>
        </w:rPr>
        <w:t xml:space="preserve"> compared to the general population. A finding of major concern is that even though only small minority are persistent or high-dose users of opioids, the vast majority of </w:t>
      </w:r>
      <w:r w:rsidR="006E5CF8" w:rsidRPr="00156087">
        <w:rPr>
          <w:rFonts w:cstheme="minorHAnsi"/>
          <w:color w:val="000000" w:themeColor="text1"/>
          <w:lang w:val="en-US"/>
        </w:rPr>
        <w:t xml:space="preserve">these individuals </w:t>
      </w:r>
      <w:r w:rsidR="007F3B61" w:rsidRPr="00156087">
        <w:rPr>
          <w:rFonts w:cstheme="minorHAnsi"/>
          <w:color w:val="000000" w:themeColor="text1"/>
          <w:lang w:val="en-US"/>
        </w:rPr>
        <w:t>co-medicate with high doses of benzodiazepines and/or benzodiazepine-related hypnotics.</w:t>
      </w:r>
      <w:r w:rsidR="009D123F" w:rsidRPr="00156087">
        <w:rPr>
          <w:rFonts w:cstheme="minorHAnsi"/>
          <w:color w:val="000000" w:themeColor="text1"/>
          <w:lang w:val="en-US"/>
        </w:rPr>
        <w:t xml:space="preserve"> T</w:t>
      </w:r>
      <w:r w:rsidR="009D123F" w:rsidRPr="00156087">
        <w:rPr>
          <w:color w:val="000000" w:themeColor="text1"/>
          <w:lang w:val="en-US"/>
        </w:rPr>
        <w:t>he high degree of co-medication with benzodiazepines and/or benzodiazepine-related hypnotics in survivors on persistent and high-dose opioids might be an indication of problematic opioid use or addicti</w:t>
      </w:r>
      <w:r w:rsidR="008D7FD7" w:rsidRPr="00156087">
        <w:rPr>
          <w:color w:val="000000" w:themeColor="text1"/>
          <w:lang w:val="en-US"/>
        </w:rPr>
        <w:t>ve behavior</w:t>
      </w:r>
      <w:r w:rsidR="009D123F" w:rsidRPr="00156087">
        <w:rPr>
          <w:color w:val="000000" w:themeColor="text1"/>
          <w:lang w:val="en-US"/>
        </w:rPr>
        <w:t>.</w:t>
      </w:r>
      <w:r w:rsidR="00DA44CF" w:rsidRPr="00156087">
        <w:rPr>
          <w:color w:val="000000" w:themeColor="text1"/>
          <w:lang w:val="en-US"/>
        </w:rPr>
        <w:t xml:space="preserve"> </w:t>
      </w:r>
    </w:p>
    <w:p w14:paraId="37EA20BD" w14:textId="77777777" w:rsidR="004727D7" w:rsidRPr="00156087" w:rsidRDefault="004727D7" w:rsidP="008D6F82">
      <w:pPr>
        <w:spacing w:after="0" w:line="360" w:lineRule="auto"/>
        <w:rPr>
          <w:rFonts w:cstheme="minorHAnsi"/>
          <w:color w:val="000000" w:themeColor="text1"/>
          <w:u w:val="single"/>
          <w:lang w:val="en-US"/>
        </w:rPr>
      </w:pPr>
    </w:p>
    <w:p w14:paraId="28D6BA89" w14:textId="133D7625" w:rsidR="006602D9" w:rsidRPr="00156087" w:rsidRDefault="001E0BB1" w:rsidP="008D6F82">
      <w:pPr>
        <w:spacing w:after="0" w:line="360" w:lineRule="auto"/>
        <w:rPr>
          <w:rFonts w:cstheme="minorHAnsi"/>
          <w:color w:val="000000" w:themeColor="text1"/>
          <w:lang w:val="en-US"/>
        </w:rPr>
      </w:pPr>
      <w:r w:rsidRPr="00156087">
        <w:rPr>
          <w:rFonts w:cstheme="minorHAnsi"/>
          <w:color w:val="000000" w:themeColor="text1"/>
          <w:u w:val="single"/>
          <w:lang w:val="en-US"/>
        </w:rPr>
        <w:t>Conflict of Interest:</w:t>
      </w:r>
      <w:r w:rsidRPr="00156087">
        <w:rPr>
          <w:rFonts w:cstheme="minorHAnsi"/>
          <w:color w:val="000000" w:themeColor="text1"/>
          <w:lang w:val="en-US"/>
        </w:rPr>
        <w:t xml:space="preserve"> The authors have no conflicts of interest.</w:t>
      </w:r>
    </w:p>
    <w:p w14:paraId="2F8CE98D" w14:textId="5D28B25A" w:rsidR="004727D7" w:rsidRPr="00156087" w:rsidRDefault="004727D7" w:rsidP="008D6F82">
      <w:pPr>
        <w:spacing w:after="0" w:line="360" w:lineRule="auto"/>
        <w:rPr>
          <w:rFonts w:cstheme="minorHAnsi"/>
          <w:color w:val="000000" w:themeColor="text1"/>
          <w:lang w:val="en-US"/>
        </w:rPr>
      </w:pPr>
    </w:p>
    <w:p w14:paraId="0A643285" w14:textId="77777777" w:rsidR="008D6F82" w:rsidRPr="00156087" w:rsidRDefault="008D6F82">
      <w:pPr>
        <w:rPr>
          <w:rFonts w:cstheme="minorHAnsi"/>
          <w:b/>
          <w:color w:val="000000" w:themeColor="text1"/>
          <w:u w:val="single"/>
          <w:lang w:val="en-US"/>
        </w:rPr>
      </w:pPr>
      <w:r w:rsidRPr="00156087">
        <w:rPr>
          <w:rFonts w:cstheme="minorHAnsi"/>
          <w:b/>
          <w:color w:val="000000" w:themeColor="text1"/>
          <w:u w:val="single"/>
          <w:lang w:val="en-US"/>
        </w:rPr>
        <w:br w:type="page"/>
      </w:r>
    </w:p>
    <w:p w14:paraId="267BF580" w14:textId="77777777" w:rsidR="006A2123" w:rsidRPr="00156087" w:rsidRDefault="006A2123" w:rsidP="00DE4CD3">
      <w:pPr>
        <w:tabs>
          <w:tab w:val="right" w:pos="540"/>
          <w:tab w:val="left" w:pos="720"/>
        </w:tabs>
        <w:spacing w:after="0" w:line="480" w:lineRule="auto"/>
        <w:ind w:left="720" w:hanging="720"/>
        <w:rPr>
          <w:rFonts w:cstheme="minorHAnsi"/>
          <w:color w:val="000000" w:themeColor="text1"/>
          <w:lang w:val="en-US"/>
        </w:rPr>
      </w:pPr>
    </w:p>
    <w:p w14:paraId="4783760A" w14:textId="6D1B5BB4" w:rsidR="00553C26" w:rsidRPr="00553C26" w:rsidRDefault="00553C26" w:rsidP="00553C26">
      <w:pPr>
        <w:jc w:val="center"/>
        <w:rPr>
          <w:rFonts w:ascii="Calibri" w:hAnsi="Calibri" w:cs="Calibri"/>
          <w:noProof/>
          <w:color w:val="000000" w:themeColor="text1"/>
          <w:lang w:val="en-US"/>
        </w:rPr>
      </w:pPr>
      <w:r w:rsidRPr="00553C26">
        <w:rPr>
          <w:rFonts w:ascii="Calibri" w:hAnsi="Calibri" w:cs="Calibri"/>
          <w:noProof/>
          <w:color w:val="000000" w:themeColor="text1"/>
          <w:lang w:val="en-US"/>
        </w:rPr>
        <w:t>Reference List</w:t>
      </w:r>
    </w:p>
    <w:p w14:paraId="4D2082CE" w14:textId="77777777" w:rsidR="00553C26" w:rsidRPr="00553C26" w:rsidRDefault="00553C26" w:rsidP="00553C26">
      <w:pPr>
        <w:jc w:val="center"/>
        <w:rPr>
          <w:rFonts w:ascii="Calibri" w:hAnsi="Calibri" w:cs="Calibri"/>
          <w:noProof/>
          <w:color w:val="000000" w:themeColor="text1"/>
          <w:lang w:val="en-US"/>
        </w:rPr>
      </w:pPr>
    </w:p>
    <w:p w14:paraId="0262F956"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[1] </w:t>
      </w:r>
      <w:r>
        <w:rPr>
          <w:rFonts w:ascii="Calibri" w:hAnsi="Calibri" w:cs="Calibri"/>
          <w:noProof/>
          <w:color w:val="000000" w:themeColor="text1"/>
          <w:lang w:val="en-US"/>
        </w:rPr>
        <w:tab/>
        <w:t>Alberts NM, Gagnon MM, Stinson JN. Chronic pain in survivors of childhood cancer: a developmental model of pain across the cancer trajectory. Pain 2018;159:1916-1927.</w:t>
      </w:r>
    </w:p>
    <w:p w14:paraId="4F56C1F8"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[2] </w:t>
      </w:r>
      <w:r>
        <w:rPr>
          <w:rFonts w:ascii="Calibri" w:hAnsi="Calibri" w:cs="Calibri"/>
          <w:noProof/>
          <w:color w:val="000000" w:themeColor="text1"/>
          <w:lang w:val="en-US"/>
        </w:rPr>
        <w:tab/>
        <w:t>Birke H, Kurita GP, Sjogren P, Hojsted J, Simonsen MK, Juel K, Ekholm O. Chronic non-cancer pain and the epidemic prescription of opioids in the Danish population: trends from 2000 to 2013. Acta Anaesthesiol Scand 2016;60:623-633.</w:t>
      </w:r>
    </w:p>
    <w:p w14:paraId="15B3D6D9"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[3] </w:t>
      </w:r>
      <w:r>
        <w:rPr>
          <w:rFonts w:ascii="Calibri" w:hAnsi="Calibri" w:cs="Calibri"/>
          <w:noProof/>
          <w:color w:val="000000" w:themeColor="text1"/>
          <w:lang w:val="en-US"/>
        </w:rPr>
        <w:tab/>
        <w:t>Bonnet U, Scherbaum N. How addictive are gabapentin and pregabalin? A systematic review. Eur Neuropsychopharmacol 2017;27:1185-1215.</w:t>
      </w:r>
    </w:p>
    <w:p w14:paraId="290CF1A0"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[4] </w:t>
      </w:r>
      <w:r>
        <w:rPr>
          <w:rFonts w:ascii="Calibri" w:hAnsi="Calibri" w:cs="Calibri"/>
          <w:noProof/>
          <w:color w:val="000000" w:themeColor="text1"/>
          <w:lang w:val="en-US"/>
        </w:rPr>
        <w:tab/>
        <w:t>Breivik H, Collett B, Ventafridda V, Cohen R, Gallacher D. Survey of chronic pain in Europe: prevalence, impact on daily life, and treatment. Eur J Pain 2006;10:287-333.</w:t>
      </w:r>
    </w:p>
    <w:p w14:paraId="5FF72327"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[5] </w:t>
      </w:r>
      <w:r>
        <w:rPr>
          <w:rFonts w:ascii="Calibri" w:hAnsi="Calibri" w:cs="Calibri"/>
          <w:noProof/>
          <w:color w:val="000000" w:themeColor="text1"/>
          <w:lang w:val="en-US"/>
        </w:rPr>
        <w:tab/>
        <w:t>Brinkman TM, Ullrich NJ, Zhang N, Green DM, Zeltzer LK, Lommel KM, Brouwers P, Srivastava DK, Jain N, Robison LL, Krull KR. Prevalence and predictors of prescription psychoactive medication use in adult survivors of childhood cancer: a report from the Childhood Cancer Survivor Study. J Cancer Surviv 2013;7:104-114.</w:t>
      </w:r>
    </w:p>
    <w:p w14:paraId="4F1A7964"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[6] </w:t>
      </w:r>
      <w:r>
        <w:rPr>
          <w:rFonts w:ascii="Calibri" w:hAnsi="Calibri" w:cs="Calibri"/>
          <w:noProof/>
          <w:color w:val="000000" w:themeColor="text1"/>
          <w:lang w:val="en-US"/>
        </w:rPr>
        <w:tab/>
        <w:t>Brunelli C, Bennett MI, Kaasa S, Fainsinger R, Sjogren P, Mercadante S, Lohre ET, Caraceni A. Classification of neuropathic pain in cancer patients: A Delphi expert survey report and EAPC/IASP proposal of an algorithm for diagnostic criteria. Pain 2014;155:2707-2713.</w:t>
      </w:r>
    </w:p>
    <w:p w14:paraId="3A342346"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[7] </w:t>
      </w:r>
      <w:r>
        <w:rPr>
          <w:rFonts w:ascii="Calibri" w:hAnsi="Calibri" w:cs="Calibri"/>
          <w:noProof/>
          <w:color w:val="000000" w:themeColor="text1"/>
          <w:lang w:val="en-US"/>
        </w:rPr>
        <w:tab/>
        <w:t>Campbell CI, Weisner C, LeResche L, Ray GT, Saunders K, Sullivan MD, Banta-Green CJ, Merrill JO, Silverberg MJ, Boudreau D, Satre DD, Von KM. Age and gender trends in long-term opioid analgesic use for noncancer pain. Am J Public Health 2010;100:2541-2547.</w:t>
      </w:r>
    </w:p>
    <w:p w14:paraId="286C7294"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lastRenderedPageBreak/>
        <w:tab/>
        <w:t xml:space="preserve">[8] </w:t>
      </w:r>
      <w:r>
        <w:rPr>
          <w:rFonts w:ascii="Calibri" w:hAnsi="Calibri" w:cs="Calibri"/>
          <w:noProof/>
          <w:color w:val="000000" w:themeColor="text1"/>
          <w:lang w:val="en-US"/>
        </w:rPr>
        <w:tab/>
        <w:t>Chou R, Turner JA, Devine EB, Hansen RN, Sullivan SD, Blazina I, Dana T, Bougatsos C, Deyo RA. The effectiveness and risks of long-term opioid therapy for chronic pain: a systematic review for a National Institutes of Health Pathways to Prevention Workshop. Ann Intern Med 2015;162:276-286.</w:t>
      </w:r>
    </w:p>
    <w:p w14:paraId="02825827"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[9] </w:t>
      </w:r>
      <w:r>
        <w:rPr>
          <w:rFonts w:ascii="Calibri" w:hAnsi="Calibri" w:cs="Calibri"/>
          <w:noProof/>
          <w:color w:val="000000" w:themeColor="text1"/>
          <w:lang w:val="en-US"/>
        </w:rPr>
        <w:tab/>
        <w:t>Dowell D, Haegerich TM, Chou R. CDC Guideline for Prescribing Opioids for Chronic Pain - United States, 2016. MMWR Recomm Rep 2016;65:1-49.</w:t>
      </w:r>
    </w:p>
    <w:p w14:paraId="778FC250"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[10] </w:t>
      </w:r>
      <w:r>
        <w:rPr>
          <w:rFonts w:ascii="Calibri" w:hAnsi="Calibri" w:cs="Calibri"/>
          <w:noProof/>
          <w:color w:val="000000" w:themeColor="text1"/>
          <w:lang w:val="en-US"/>
        </w:rPr>
        <w:tab/>
        <w:t>Eriksen J, Sjogren P, Bruera E, Ekholm O, Rasmussen NK. Critical issues on opioids in chronic non-cancer pain: an epidemiological study. Pain 2006;125:172-179.</w:t>
      </w:r>
    </w:p>
    <w:p w14:paraId="5CCEB7E7"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[11] </w:t>
      </w:r>
      <w:r>
        <w:rPr>
          <w:rFonts w:ascii="Calibri" w:hAnsi="Calibri" w:cs="Calibri"/>
          <w:noProof/>
          <w:color w:val="000000" w:themeColor="text1"/>
          <w:lang w:val="en-US"/>
        </w:rPr>
        <w:tab/>
        <w:t>Fillingim RB, Ness TJ. Sex-related hormonal influences on pain and analgesic responses. Neurosci Biobehav Rev 2000;24:485-501.</w:t>
      </w:r>
    </w:p>
    <w:p w14:paraId="22CFA95A"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[12] </w:t>
      </w:r>
      <w:r>
        <w:rPr>
          <w:rFonts w:ascii="Calibri" w:hAnsi="Calibri" w:cs="Calibri"/>
          <w:noProof/>
          <w:color w:val="000000" w:themeColor="text1"/>
          <w:lang w:val="en-US"/>
        </w:rPr>
        <w:tab/>
        <w:t>Finnerup NB, Attal N, Haroutounian S, McNicol E, Baron R, Dworkin RH, Gilron I, Haanpaa M, Hansson P, Jensen TS, Kamerman PR, Lund K, Moore A, Raja SN, Rice AS, Rowbotham M, Sena E, Siddall P, Smith BH, Wallace M. Pharmacotherapy for neuropathic pain in adults: a systematic review and meta-analysis. Lancet Neurol 2015;14:162-173.</w:t>
      </w:r>
    </w:p>
    <w:p w14:paraId="1620D136"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[13] </w:t>
      </w:r>
      <w:r>
        <w:rPr>
          <w:rFonts w:ascii="Calibri" w:hAnsi="Calibri" w:cs="Calibri"/>
          <w:noProof/>
          <w:color w:val="000000" w:themeColor="text1"/>
          <w:lang w:val="en-US"/>
        </w:rPr>
        <w:tab/>
        <w:t>Finnerup NB, Sindrup SH, Jensen TS. The evidence for pharmacological treatment of neuropathic pain. Pain 2010;150:573-581.</w:t>
      </w:r>
    </w:p>
    <w:p w14:paraId="6A506D61"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[14] </w:t>
      </w:r>
      <w:r>
        <w:rPr>
          <w:rFonts w:ascii="Calibri" w:hAnsi="Calibri" w:cs="Calibri"/>
          <w:noProof/>
          <w:color w:val="000000" w:themeColor="text1"/>
          <w:lang w:val="en-US"/>
        </w:rPr>
        <w:tab/>
        <w:t>Fredheim OM, Skurtveit S, Breivik H, Borchgrevink PC. Increasing use of opioids from 2004 to 2007 - pharmacoepidemiological data from a complete national prescription database in Norway. Eur J Pain 2010;14:289-294.</w:t>
      </w:r>
    </w:p>
    <w:p w14:paraId="5F466BCE"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[15] </w:t>
      </w:r>
      <w:r>
        <w:rPr>
          <w:rFonts w:ascii="Calibri" w:hAnsi="Calibri" w:cs="Calibri"/>
          <w:noProof/>
          <w:color w:val="000000" w:themeColor="text1"/>
          <w:lang w:val="en-US"/>
        </w:rPr>
        <w:tab/>
        <w:t>Fredheim OM, Skurtveit S, Handal M, Hjellvik V. A complete national cohort study of prescriptions of analgesics and benzodiazepines to cancer survivors in Norway 10 years after diagnosis. Pain 2019;160:852-859.</w:t>
      </w:r>
    </w:p>
    <w:p w14:paraId="1F9F765A"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lastRenderedPageBreak/>
        <w:tab/>
        <w:t xml:space="preserve">[16] </w:t>
      </w:r>
      <w:r>
        <w:rPr>
          <w:rFonts w:ascii="Calibri" w:hAnsi="Calibri" w:cs="Calibri"/>
          <w:noProof/>
          <w:color w:val="000000" w:themeColor="text1"/>
          <w:lang w:val="en-US"/>
        </w:rPr>
        <w:tab/>
        <w:t>Gatta G, Botta L, Rossi S, Aareleid T, Bielska-Lasota M, Clavel J, Dimitrova N, Jakab Z, Kaatsch P, Lacour B, Mallone S, Marcos-Gragera R, Minicozzi P, Sanchez-Perez MJ, Sant M, Santaquilani M, Stiller C, Tavilla A, Trama A, Visser O, Peris-Bonet R. Childhood cancer survival in Europe 1999-2007: results of EUROCARE-5--a population-based study. Lancet Oncol 2014;15:35-47.</w:t>
      </w:r>
    </w:p>
    <w:p w14:paraId="6F3C3D53"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[17] </w:t>
      </w:r>
      <w:r>
        <w:rPr>
          <w:rFonts w:ascii="Calibri" w:hAnsi="Calibri" w:cs="Calibri"/>
          <w:noProof/>
          <w:color w:val="000000" w:themeColor="text1"/>
          <w:lang w:val="en-US"/>
        </w:rPr>
        <w:tab/>
        <w:t>Gatta G, Capocaccia R, Stiller C, Kaatsch P, Berrino F, Terenziani M. Childhood cancer survival trends in Europe: a EUROCARE Working Group study. J Clin Oncol 2005;23:3742-3751.</w:t>
      </w:r>
    </w:p>
    <w:p w14:paraId="12319936"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[18] </w:t>
      </w:r>
      <w:r>
        <w:rPr>
          <w:rFonts w:ascii="Calibri" w:hAnsi="Calibri" w:cs="Calibri"/>
          <w:noProof/>
          <w:color w:val="000000" w:themeColor="text1"/>
          <w:lang w:val="en-US"/>
        </w:rPr>
        <w:tab/>
        <w:t>Gatta G, Zigon G, Capocaccia R, Coebergh JW, Desandes E, Kaatsch P, Pastore G, Peris-Bonet R, Stiller CA. Survival of European children and young adults with cancer diagnosed 1995-2002. Eur J Cancer 2009;45:992-1005.</w:t>
      </w:r>
    </w:p>
    <w:p w14:paraId="0FD43B35"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[19] </w:t>
      </w:r>
      <w:r>
        <w:rPr>
          <w:rFonts w:ascii="Calibri" w:hAnsi="Calibri" w:cs="Calibri"/>
          <w:noProof/>
          <w:color w:val="000000" w:themeColor="text1"/>
          <w:lang w:val="en-US"/>
        </w:rPr>
        <w:tab/>
        <w:t>Ge HY, Madeleine P, Cairns BE, Arendt-Nielsen L. Hypoalgesia in the referred pain areas after bilateral injections of hypertonic saline into the trapezius muscles of men and women: a potential experimental model of gender-specific differences. Clin J Pain 2006;22:37-44.</w:t>
      </w:r>
    </w:p>
    <w:p w14:paraId="68698E12"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[20] </w:t>
      </w:r>
      <w:r>
        <w:rPr>
          <w:rFonts w:ascii="Calibri" w:hAnsi="Calibri" w:cs="Calibri"/>
          <w:noProof/>
          <w:color w:val="000000" w:themeColor="text1"/>
          <w:lang w:val="en-US"/>
        </w:rPr>
        <w:tab/>
        <w:t>Gilchrist LS, Tanner LR, Ness KK. Short-term recovery of chemotherapy-induced peripheral neuropathy after treatment for pediatric non-CNS cancer. Pediatr Blood Cancer 2017;64:180-187.</w:t>
      </w:r>
    </w:p>
    <w:p w14:paraId="5D3B18DE"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[21] </w:t>
      </w:r>
      <w:r>
        <w:rPr>
          <w:rFonts w:ascii="Calibri" w:hAnsi="Calibri" w:cs="Calibri"/>
          <w:noProof/>
          <w:color w:val="000000" w:themeColor="text1"/>
          <w:lang w:val="en-US"/>
        </w:rPr>
        <w:tab/>
        <w:t>Glare PA, Davies PS, Finlay E, Gulati A, Lemanne D, Moryl N, Oeffinger KC, Paice JA, Stubblefield MD, Syrjala KL. Pain in cancer survivors. J Clin Oncol 2014;32:1739-1747.</w:t>
      </w:r>
    </w:p>
    <w:p w14:paraId="032C0D1F"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[22] </w:t>
      </w:r>
      <w:r>
        <w:rPr>
          <w:rFonts w:ascii="Calibri" w:hAnsi="Calibri" w:cs="Calibri"/>
          <w:noProof/>
          <w:color w:val="000000" w:themeColor="text1"/>
          <w:lang w:val="en-US"/>
        </w:rPr>
        <w:tab/>
        <w:t>Haanpaa M, Attal N, Backonja M, Baron R, Bennett M, Bouhassira D, Cruccu G, Hansson P, Haythornthwaite JA, Iannetti GD, Jensen TS, Kauppila T, Nurmikko TJ, Rice AS, Rowbotham M, Serra J, Sommer C, Smith BH, Treede RD. NeuPSIG guidelines on neuropathic pain assessment. Pain 2011;152:14-27.</w:t>
      </w:r>
    </w:p>
    <w:p w14:paraId="38D7FB4B"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[23] </w:t>
      </w:r>
      <w:r>
        <w:rPr>
          <w:rFonts w:ascii="Calibri" w:hAnsi="Calibri" w:cs="Calibri"/>
          <w:noProof/>
          <w:color w:val="000000" w:themeColor="text1"/>
          <w:lang w:val="en-US"/>
        </w:rPr>
        <w:tab/>
        <w:t>Hardo PG, Kennedy TD. Night sedation and arthritic pain. J R Soc Med 1991;84:73-75.</w:t>
      </w:r>
    </w:p>
    <w:p w14:paraId="41B60A05"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lastRenderedPageBreak/>
        <w:tab/>
        <w:t xml:space="preserve">[24] </w:t>
      </w:r>
      <w:r>
        <w:rPr>
          <w:rFonts w:ascii="Calibri" w:hAnsi="Calibri" w:cs="Calibri"/>
          <w:noProof/>
          <w:color w:val="000000" w:themeColor="text1"/>
          <w:lang w:val="en-US"/>
        </w:rPr>
        <w:tab/>
        <w:t>Hojsted J, Ekholm O, Kurita GP, Juel K, Sjogren P. Addictive behaviors related to opioid use for chronic pain: a population-based study. Pain 2013;154:2677-2683.</w:t>
      </w:r>
    </w:p>
    <w:p w14:paraId="7DD62E2E" w14:textId="690CD2F3"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[25] </w:t>
      </w:r>
      <w:r>
        <w:rPr>
          <w:rFonts w:ascii="Calibri" w:hAnsi="Calibri" w:cs="Calibri"/>
          <w:noProof/>
          <w:color w:val="000000" w:themeColor="text1"/>
          <w:lang w:val="en-US"/>
        </w:rPr>
        <w:tab/>
        <w:t xml:space="preserve">https:, </w:t>
      </w:r>
      <w:r w:rsidRPr="00001CF1">
        <w:rPr>
          <w:rFonts w:ascii="Calibri" w:hAnsi="Calibri" w:cs="Calibri"/>
          <w:noProof/>
          <w:lang w:val="en-US"/>
        </w:rPr>
        <w:t>www.nap.edu/catalog/24781/pain-management-and-the-opioid-epidemic-balancing-societal-and-individual</w:t>
      </w:r>
      <w:r>
        <w:rPr>
          <w:rFonts w:ascii="Calibri" w:hAnsi="Calibri" w:cs="Calibri"/>
          <w:noProof/>
          <w:color w:val="000000" w:themeColor="text1"/>
          <w:lang w:val="en-US"/>
        </w:rPr>
        <w:t>. Pain Management and the Opioid Epidemic. 2019.</w:t>
      </w:r>
    </w:p>
    <w:p w14:paraId="2D00D6C3"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[26] </w:t>
      </w:r>
      <w:r>
        <w:rPr>
          <w:rFonts w:ascii="Calibri" w:hAnsi="Calibri" w:cs="Calibri"/>
          <w:noProof/>
          <w:color w:val="000000" w:themeColor="text1"/>
          <w:lang w:val="en-US"/>
        </w:rPr>
        <w:tab/>
        <w:t>Jain P, Gulati S, Seth R, Bakhshi S, Toteja GS, Pandey RM. Vincristine-induced neuropathy in childhood ALL (acute lymphoblastic leukemia) survivors: prevalence and electrophysiological characteristics. J Child Neurol 2014;29:932-937.</w:t>
      </w:r>
    </w:p>
    <w:p w14:paraId="07B8C695"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[27] </w:t>
      </w:r>
      <w:r>
        <w:rPr>
          <w:rFonts w:ascii="Calibri" w:hAnsi="Calibri" w:cs="Calibri"/>
          <w:noProof/>
          <w:color w:val="000000" w:themeColor="text1"/>
          <w:lang w:val="en-US"/>
        </w:rPr>
        <w:tab/>
        <w:t>Johannsdottir IM, Karlstad O, Loge JH, Fossa SD, Kiserud C, Skurtveit S. Prescriptions of Antidepressants to Survivors of Cancer in Childhood, Adolescence, and Young Adulthood: A Population-Based Study. J Adolesc Young Adult Oncol 2017;6:120-126.</w:t>
      </w:r>
    </w:p>
    <w:p w14:paraId="031FDD01"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[28] </w:t>
      </w:r>
      <w:r>
        <w:rPr>
          <w:rFonts w:ascii="Calibri" w:hAnsi="Calibri" w:cs="Calibri"/>
          <w:noProof/>
          <w:color w:val="000000" w:themeColor="text1"/>
          <w:lang w:val="en-US"/>
        </w:rPr>
        <w:tab/>
        <w:t>Johannsdottir IM, Loge JH, Kiserud CE, Karlstad O, Skurtveit S. Increased prescription rates of anxiolytics and hypnotics to survivors of cancer in childhood, adolescence, and young adulthood-A population-based study. Pediatr Blood Cancer 2018;65.</w:t>
      </w:r>
    </w:p>
    <w:p w14:paraId="36CAC64B"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[29] </w:t>
      </w:r>
      <w:r>
        <w:rPr>
          <w:rFonts w:ascii="Calibri" w:hAnsi="Calibri" w:cs="Calibri"/>
          <w:noProof/>
          <w:color w:val="000000" w:themeColor="text1"/>
          <w:lang w:val="en-US"/>
        </w:rPr>
        <w:tab/>
        <w:t>Jung BF, Ahrendt GM, Oaklander AL, Dworkin RH. Neuropathic pain following breast cancer surgery: proposed classification and research update. Pain 2003;104:1-13.</w:t>
      </w:r>
    </w:p>
    <w:p w14:paraId="449A77AE"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[30] </w:t>
      </w:r>
      <w:r>
        <w:rPr>
          <w:rFonts w:ascii="Calibri" w:hAnsi="Calibri" w:cs="Calibri"/>
          <w:noProof/>
          <w:color w:val="000000" w:themeColor="text1"/>
          <w:lang w:val="en-US"/>
        </w:rPr>
        <w:tab/>
        <w:t>Kurita GP, Sjogren P. Pain management in cancer survivorship. Acta Oncol 2015;54:629-634.</w:t>
      </w:r>
    </w:p>
    <w:p w14:paraId="757E4DBB"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[31] </w:t>
      </w:r>
      <w:r>
        <w:rPr>
          <w:rFonts w:ascii="Calibri" w:hAnsi="Calibri" w:cs="Calibri"/>
          <w:noProof/>
          <w:color w:val="000000" w:themeColor="text1"/>
          <w:lang w:val="en-US"/>
        </w:rPr>
        <w:tab/>
        <w:t>Lu Q, Krull KR, Leisenring W, Owen JE, Kawashima T, Tsao JC, Zebrack B, Mertens A, Armstrong GT, Stovall M, Robison LL, Zeltzer LK. Pain in long-term adult survivors of childhood cancers and their siblings: a report from the Childhood Cancer Survivor Study. Pain 2011;152:2616-2624.</w:t>
      </w:r>
    </w:p>
    <w:p w14:paraId="2451963A"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[32] </w:t>
      </w:r>
      <w:r>
        <w:rPr>
          <w:rFonts w:ascii="Calibri" w:hAnsi="Calibri" w:cs="Calibri"/>
          <w:noProof/>
          <w:color w:val="000000" w:themeColor="text1"/>
          <w:lang w:val="en-US"/>
        </w:rPr>
        <w:tab/>
        <w:t>Lykke C, Ekholm O, Schmiegelow K, Olsen M, Sjogren P. All-cause mortality rates and home deaths decreased in children with life-limiting diagnoses in Denmark between 1994 and 2014. Acta Paediatr 2018;107:1781-1785.</w:t>
      </w:r>
    </w:p>
    <w:p w14:paraId="4BF0167A"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lastRenderedPageBreak/>
        <w:tab/>
        <w:t xml:space="preserve">[33] </w:t>
      </w:r>
      <w:r>
        <w:rPr>
          <w:rFonts w:ascii="Calibri" w:hAnsi="Calibri" w:cs="Calibri"/>
          <w:noProof/>
          <w:color w:val="000000" w:themeColor="text1"/>
          <w:lang w:val="en-US"/>
        </w:rPr>
        <w:tab/>
        <w:t>Mellbye A, Svendsen K, Borchgrevink PC, Skurtveit S, Fredheim OM. Concomitant medication among persistent opioid users with chronic non-malignant pain. Acta Anaesthesiol Scand 2012;56:1267-1276.</w:t>
      </w:r>
    </w:p>
    <w:p w14:paraId="2885B4A4"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[34] </w:t>
      </w:r>
      <w:r>
        <w:rPr>
          <w:rFonts w:ascii="Calibri" w:hAnsi="Calibri" w:cs="Calibri"/>
          <w:noProof/>
          <w:color w:val="000000" w:themeColor="text1"/>
          <w:lang w:val="en-US"/>
        </w:rPr>
        <w:tab/>
        <w:t>Michel G, Mulder RL, van der Pal HJH, Skinner R, Bardi E, Brown MC, Vetsch J, Frey E, Windsor R, Kremer LCM, Levitt G. Evidence-based recommendations for the organization of long-term follow-up care for childhood and adolescent cancer survivors: a report from the PanCareSurFup Guidelines Working Group. J Cancer Surviv 2019.</w:t>
      </w:r>
    </w:p>
    <w:p w14:paraId="4C4AD4CF"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[35] </w:t>
      </w:r>
      <w:r>
        <w:rPr>
          <w:rFonts w:ascii="Calibri" w:hAnsi="Calibri" w:cs="Calibri"/>
          <w:noProof/>
          <w:color w:val="000000" w:themeColor="text1"/>
          <w:lang w:val="en-US"/>
        </w:rPr>
        <w:tab/>
        <w:t>Nathan PC, Nachman A, Sutradhar R, Kurdyak P, Pole JD, Lau C, Gupta S. Adverse mental health outcomes in a population-based cohort of survivors of childhood cancer. Cancer 2018;124:2045-2057.</w:t>
      </w:r>
    </w:p>
    <w:p w14:paraId="4DB05010"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[36] </w:t>
      </w:r>
      <w:r>
        <w:rPr>
          <w:rFonts w:ascii="Calibri" w:hAnsi="Calibri" w:cs="Calibri"/>
          <w:noProof/>
          <w:color w:val="000000" w:themeColor="text1"/>
          <w:lang w:val="en-US"/>
        </w:rPr>
        <w:tab/>
        <w:t>Norwegian Directorate of Public Health. Opioid guideline. 2019.</w:t>
      </w:r>
    </w:p>
    <w:p w14:paraId="47F309A7"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[37] </w:t>
      </w:r>
      <w:r>
        <w:rPr>
          <w:rFonts w:ascii="Calibri" w:hAnsi="Calibri" w:cs="Calibri"/>
          <w:noProof/>
          <w:color w:val="000000" w:themeColor="text1"/>
          <w:lang w:val="en-US"/>
        </w:rPr>
        <w:tab/>
        <w:t>O'Brien T, Christrup LL, Drewes AM, Fallon MT, Kress HG, McQuay HJ, Mikus G, Morlion BJ, Perez-Cajaraville J, Pogatzki-Zahn E, Varrassi G, Wells JC. European Pain Federation position paper on appropriate opioid use in chronic pain management. Eur J Pain 2017;21:3-19.</w:t>
      </w:r>
    </w:p>
    <w:p w14:paraId="3B06CD7A"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[38] </w:t>
      </w:r>
      <w:r>
        <w:rPr>
          <w:rFonts w:ascii="Calibri" w:hAnsi="Calibri" w:cs="Calibri"/>
          <w:noProof/>
          <w:color w:val="000000" w:themeColor="text1"/>
          <w:lang w:val="en-US"/>
        </w:rPr>
        <w:tab/>
        <w:t>Owens GM. Gender differences in health care expenditures, resource utilization, and quality of care. J Manag Care Pharm 2008;14:2-6.</w:t>
      </w:r>
    </w:p>
    <w:p w14:paraId="006F577A"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[39] </w:t>
      </w:r>
      <w:r>
        <w:rPr>
          <w:rFonts w:ascii="Calibri" w:hAnsi="Calibri" w:cs="Calibri"/>
          <w:noProof/>
          <w:color w:val="000000" w:themeColor="text1"/>
          <w:lang w:val="en-US"/>
        </w:rPr>
        <w:tab/>
        <w:t>Paice JA, Portenoy R, Lacchetti C, Campbell T, Cheville A, Citron M, Constine LS, Cooper A, Glare P, Keefe F, Koyyalagunta L, Levy M, Miaskowski C, Otis-Green S, Sloan P, Bruera E. Management of Chronic Pain in Survivors of Adult Cancers: American Society of Clinical Oncology Clinical Practice Guideline. J Clin Oncol 2016;34:3325-3345.</w:t>
      </w:r>
    </w:p>
    <w:p w14:paraId="699616F8"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[40] </w:t>
      </w:r>
      <w:r>
        <w:rPr>
          <w:rFonts w:ascii="Calibri" w:hAnsi="Calibri" w:cs="Calibri"/>
          <w:noProof/>
          <w:color w:val="000000" w:themeColor="text1"/>
          <w:lang w:val="en-US"/>
        </w:rPr>
        <w:tab/>
        <w:t>Peuckmann V, Ekholm O, Rasmussen NK, Groenvold M, Christiansen P, Moller S, Eriksen J, Sjogren P. Chronic pain and other sequelae in long-term breast cancer survivors: nationwide survey in Denmark. Eur J Pain 2009;13:478-485.</w:t>
      </w:r>
    </w:p>
    <w:p w14:paraId="0A418436"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lastRenderedPageBreak/>
        <w:tab/>
        <w:t xml:space="preserve">[41] </w:t>
      </w:r>
      <w:r>
        <w:rPr>
          <w:rFonts w:ascii="Calibri" w:hAnsi="Calibri" w:cs="Calibri"/>
          <w:noProof/>
          <w:color w:val="000000" w:themeColor="text1"/>
          <w:lang w:val="en-US"/>
        </w:rPr>
        <w:tab/>
        <w:t>Reyes-Gibby C, Morrow PK, Bennett MI, Jensen MP, Shete S. Neuropathic pain in breast cancer survivors: using the ID pain as a screening tool. J Pain Symptom Manage 2010;39:882-889.</w:t>
      </w:r>
    </w:p>
    <w:p w14:paraId="33CA8EAE"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[42] </w:t>
      </w:r>
      <w:r>
        <w:rPr>
          <w:rFonts w:ascii="Calibri" w:hAnsi="Calibri" w:cs="Calibri"/>
          <w:noProof/>
          <w:color w:val="000000" w:themeColor="text1"/>
          <w:lang w:val="en-US"/>
        </w:rPr>
        <w:tab/>
        <w:t>Rhodin A, Stridsberg M, Gordh T. Opioid endocrinopathy: a clinical problem in patients with chronic pain and long-term oral opioid treatment. Clin J Pain 2010;26:374-380.</w:t>
      </w:r>
    </w:p>
    <w:p w14:paraId="2D2D71B8" w14:textId="77777777" w:rsidR="00553C26" w:rsidRPr="00001CF1" w:rsidRDefault="00553C26" w:rsidP="00553C26">
      <w:pPr>
        <w:tabs>
          <w:tab w:val="right" w:pos="360"/>
          <w:tab w:val="left" w:pos="540"/>
        </w:tabs>
        <w:spacing w:after="240" w:line="480" w:lineRule="auto"/>
        <w:ind w:left="540" w:hanging="540"/>
        <w:rPr>
          <w:rFonts w:ascii="Calibri" w:hAnsi="Calibri" w:cs="Calibri"/>
          <w:noProof/>
          <w:color w:val="000000" w:themeColor="text1"/>
        </w:rPr>
      </w:pPr>
      <w:r>
        <w:rPr>
          <w:rFonts w:ascii="Calibri" w:hAnsi="Calibri" w:cs="Calibri"/>
          <w:noProof/>
          <w:color w:val="000000" w:themeColor="text1"/>
          <w:lang w:val="en-US"/>
        </w:rPr>
        <w:tab/>
        <w:t xml:space="preserve">[43] </w:t>
      </w:r>
      <w:r>
        <w:rPr>
          <w:rFonts w:ascii="Calibri" w:hAnsi="Calibri" w:cs="Calibri"/>
          <w:noProof/>
          <w:color w:val="000000" w:themeColor="text1"/>
          <w:lang w:val="en-US"/>
        </w:rPr>
        <w:tab/>
        <w:t xml:space="preserve">Skurtveit S, Furu K, Bramness J, Selmer R, Tverdal A. Benzodiazepines predict use of opioids--a follow-up study of 17,074 men and women. </w:t>
      </w:r>
      <w:r w:rsidRPr="00001CF1">
        <w:rPr>
          <w:rFonts w:ascii="Calibri" w:hAnsi="Calibri" w:cs="Calibri"/>
          <w:noProof/>
          <w:color w:val="000000" w:themeColor="text1"/>
        </w:rPr>
        <w:t>Pain Med 2010;11:805-814.</w:t>
      </w:r>
    </w:p>
    <w:p w14:paraId="64757560"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sidRPr="00001CF1">
        <w:rPr>
          <w:rFonts w:ascii="Calibri" w:hAnsi="Calibri" w:cs="Calibri"/>
          <w:noProof/>
          <w:color w:val="000000" w:themeColor="text1"/>
        </w:rPr>
        <w:tab/>
        <w:t xml:space="preserve">[44] </w:t>
      </w:r>
      <w:r w:rsidRPr="00001CF1">
        <w:rPr>
          <w:rFonts w:ascii="Calibri" w:hAnsi="Calibri" w:cs="Calibri"/>
          <w:noProof/>
          <w:color w:val="000000" w:themeColor="text1"/>
        </w:rPr>
        <w:tab/>
        <w:t xml:space="preserve">Svendsen K, Skurtveit S, Romundstad P, Borchgrevink PC, Fredheim OM. </w:t>
      </w:r>
      <w:r>
        <w:rPr>
          <w:rFonts w:ascii="Calibri" w:hAnsi="Calibri" w:cs="Calibri"/>
          <w:noProof/>
          <w:color w:val="000000" w:themeColor="text1"/>
          <w:lang w:val="en-US"/>
        </w:rPr>
        <w:t>Differential patterns of opioid use: defining persistent opioid use in a prescription database. Eur J Pain 2012;16:359-369.</w:t>
      </w:r>
    </w:p>
    <w:p w14:paraId="663AB15A" w14:textId="77777777" w:rsidR="00553C26" w:rsidRDefault="00553C26" w:rsidP="00553C26">
      <w:pPr>
        <w:tabs>
          <w:tab w:val="right" w:pos="360"/>
          <w:tab w:val="left" w:pos="540"/>
        </w:tabs>
        <w:spacing w:after="24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[45] </w:t>
      </w:r>
      <w:r>
        <w:rPr>
          <w:rFonts w:ascii="Calibri" w:hAnsi="Calibri" w:cs="Calibri"/>
          <w:noProof/>
          <w:color w:val="000000" w:themeColor="text1"/>
          <w:lang w:val="en-US"/>
        </w:rPr>
        <w:tab/>
        <w:t>Ullrich NJ, Pomeroy SL, Kapur K, Manley PE, Goumnerova LC, Loddenkemper T. Incidence, risk factors, and longitudinal outcome of seizures in long-term survivors of pediatric brain tumors. Epilepsia 2015;56:1599-1604.</w:t>
      </w:r>
    </w:p>
    <w:p w14:paraId="5F65CB9A" w14:textId="77777777" w:rsidR="00553C26" w:rsidRDefault="00553C26" w:rsidP="00553C26">
      <w:pPr>
        <w:tabs>
          <w:tab w:val="right" w:pos="360"/>
          <w:tab w:val="left" w:pos="540"/>
        </w:tabs>
        <w:spacing w:after="0" w:line="480" w:lineRule="auto"/>
        <w:ind w:left="540" w:hanging="540"/>
        <w:rPr>
          <w:rFonts w:ascii="Calibri" w:hAnsi="Calibri" w:cs="Calibri"/>
          <w:noProof/>
          <w:color w:val="000000" w:themeColor="text1"/>
          <w:lang w:val="en-US"/>
        </w:rPr>
      </w:pPr>
      <w:r>
        <w:rPr>
          <w:rFonts w:ascii="Calibri" w:hAnsi="Calibri" w:cs="Calibri"/>
          <w:noProof/>
          <w:color w:val="000000" w:themeColor="text1"/>
          <w:lang w:val="en-US"/>
        </w:rPr>
        <w:tab/>
        <w:t xml:space="preserve">[46] </w:t>
      </w:r>
      <w:r>
        <w:rPr>
          <w:rFonts w:ascii="Calibri" w:hAnsi="Calibri" w:cs="Calibri"/>
          <w:noProof/>
          <w:color w:val="000000" w:themeColor="text1"/>
          <w:lang w:val="en-US"/>
        </w:rPr>
        <w:tab/>
        <w:t>Walker BM, Ettenberg A. Benzodiazepine modulation of opiate reward. Exp Clin Psychopharmacol 2001;9:191-197.</w:t>
      </w:r>
    </w:p>
    <w:p w14:paraId="367F5F64" w14:textId="05F33C87" w:rsidR="00553C26" w:rsidRDefault="00553C26" w:rsidP="00553C26">
      <w:pPr>
        <w:tabs>
          <w:tab w:val="right" w:pos="360"/>
          <w:tab w:val="left" w:pos="540"/>
        </w:tabs>
        <w:spacing w:after="0" w:line="480" w:lineRule="auto"/>
        <w:ind w:left="540" w:hanging="540"/>
        <w:rPr>
          <w:rFonts w:ascii="Calibri" w:hAnsi="Calibri" w:cs="Calibri"/>
          <w:noProof/>
          <w:color w:val="000000" w:themeColor="text1"/>
          <w:lang w:val="en-US"/>
        </w:rPr>
      </w:pPr>
    </w:p>
    <w:p w14:paraId="36E068F0" w14:textId="2C059469" w:rsidR="00DD26CD" w:rsidRDefault="008612C7" w:rsidP="008612C7">
      <w:pPr>
        <w:rPr>
          <w:rFonts w:ascii="Calibri" w:hAnsi="Calibri" w:cs="Calibri"/>
          <w:noProof/>
          <w:color w:val="000000" w:themeColor="text1"/>
          <w:lang w:val="en-US"/>
        </w:rPr>
      </w:pPr>
      <w:r w:rsidRPr="00156087">
        <w:rPr>
          <w:rFonts w:ascii="Calibri" w:hAnsi="Calibri" w:cs="Calibri"/>
          <w:noProof/>
          <w:color w:val="000000" w:themeColor="text1"/>
          <w:lang w:val="en-US"/>
        </w:rPr>
        <w:t xml:space="preserve"> </w:t>
      </w:r>
    </w:p>
    <w:p w14:paraId="1F8A64DA" w14:textId="77777777" w:rsidR="00DD26CD" w:rsidRDefault="00DD26CD">
      <w:pPr>
        <w:rPr>
          <w:rFonts w:ascii="Calibri" w:hAnsi="Calibri" w:cs="Calibri"/>
          <w:noProof/>
          <w:color w:val="000000" w:themeColor="text1"/>
          <w:lang w:val="en-US"/>
        </w:rPr>
      </w:pPr>
      <w:r>
        <w:rPr>
          <w:rFonts w:ascii="Calibri" w:hAnsi="Calibri" w:cs="Calibri"/>
          <w:noProof/>
          <w:color w:val="000000" w:themeColor="text1"/>
          <w:lang w:val="en-US"/>
        </w:rPr>
        <w:br w:type="page"/>
      </w:r>
    </w:p>
    <w:p w14:paraId="31AB08CB" w14:textId="77777777" w:rsidR="008612C7" w:rsidRPr="00156087" w:rsidRDefault="008612C7" w:rsidP="008612C7">
      <w:pPr>
        <w:rPr>
          <w:rFonts w:ascii="Calibri" w:hAnsi="Calibri" w:cs="Calibri"/>
          <w:noProof/>
          <w:color w:val="000000" w:themeColor="text1"/>
          <w:lang w:val="en-US"/>
        </w:rPr>
      </w:pPr>
    </w:p>
    <w:p w14:paraId="5A269B6D" w14:textId="77777777" w:rsidR="008612C7" w:rsidRPr="00156087" w:rsidRDefault="008612C7" w:rsidP="008612C7">
      <w:pPr>
        <w:spacing w:after="0" w:line="360" w:lineRule="auto"/>
        <w:rPr>
          <w:rFonts w:cstheme="minorHAnsi"/>
          <w:b/>
          <w:color w:val="000000" w:themeColor="text1"/>
          <w:u w:val="single"/>
          <w:lang w:val="en-US"/>
        </w:rPr>
      </w:pPr>
      <w:r w:rsidRPr="00156087">
        <w:rPr>
          <w:rFonts w:cstheme="minorHAnsi"/>
          <w:b/>
          <w:color w:val="000000" w:themeColor="text1"/>
          <w:u w:val="single"/>
          <w:lang w:val="en-US"/>
        </w:rPr>
        <w:t>Figure Legends</w:t>
      </w:r>
    </w:p>
    <w:p w14:paraId="16258615" w14:textId="3AB99F55" w:rsidR="008612C7" w:rsidRPr="00156087" w:rsidRDefault="008612C7" w:rsidP="008612C7">
      <w:pPr>
        <w:spacing w:after="0" w:line="360" w:lineRule="auto"/>
        <w:rPr>
          <w:rFonts w:cstheme="minorHAnsi"/>
          <w:color w:val="000000" w:themeColor="text1"/>
          <w:lang w:val="en-US"/>
        </w:rPr>
      </w:pPr>
      <w:r w:rsidRPr="00156087">
        <w:rPr>
          <w:rFonts w:cstheme="minorHAnsi"/>
          <w:b/>
          <w:color w:val="000000" w:themeColor="text1"/>
          <w:lang w:val="en-US"/>
        </w:rPr>
        <w:t>Figure 1:</w:t>
      </w:r>
      <w:r w:rsidRPr="00156087">
        <w:rPr>
          <w:rFonts w:cstheme="minorHAnsi"/>
          <w:color w:val="000000" w:themeColor="text1"/>
          <w:lang w:val="en-US"/>
        </w:rPr>
        <w:t xml:space="preserve"> Flow-sheet of inclusion of patients. </w:t>
      </w:r>
      <w:r w:rsidR="007E6113" w:rsidRPr="00156087">
        <w:rPr>
          <w:rFonts w:cstheme="minorHAnsi"/>
          <w:color w:val="000000" w:themeColor="text1"/>
          <w:lang w:val="en-US"/>
        </w:rPr>
        <w:t xml:space="preserve">Results are </w:t>
      </w:r>
      <w:r w:rsidRPr="00156087">
        <w:rPr>
          <w:rFonts w:cstheme="minorHAnsi"/>
          <w:color w:val="000000" w:themeColor="text1"/>
          <w:lang w:val="en-US"/>
        </w:rPr>
        <w:t xml:space="preserve">presented separately for the eight groups in the study population.  </w:t>
      </w:r>
    </w:p>
    <w:p w14:paraId="3895932B" w14:textId="77777777" w:rsidR="008612C7" w:rsidRPr="00156087" w:rsidRDefault="008612C7" w:rsidP="008612C7">
      <w:pPr>
        <w:spacing w:after="0" w:line="360" w:lineRule="auto"/>
        <w:rPr>
          <w:rFonts w:cstheme="minorHAnsi"/>
          <w:b/>
          <w:color w:val="000000" w:themeColor="text1"/>
          <w:lang w:val="en-US"/>
        </w:rPr>
      </w:pPr>
    </w:p>
    <w:p w14:paraId="5D3BB3A8" w14:textId="180C4C1B" w:rsidR="008612C7" w:rsidRPr="00156087" w:rsidRDefault="008612C7" w:rsidP="008612C7">
      <w:pPr>
        <w:spacing w:after="0" w:line="360" w:lineRule="auto"/>
        <w:rPr>
          <w:rFonts w:cstheme="minorHAnsi"/>
          <w:color w:val="000000" w:themeColor="text1"/>
          <w:lang w:val="en-US"/>
        </w:rPr>
      </w:pPr>
      <w:r w:rsidRPr="00156087">
        <w:rPr>
          <w:rFonts w:cstheme="minorHAnsi"/>
          <w:b/>
          <w:color w:val="000000" w:themeColor="text1"/>
          <w:lang w:val="en-US"/>
        </w:rPr>
        <w:t>Figure 2:</w:t>
      </w:r>
      <w:r w:rsidRPr="00156087">
        <w:rPr>
          <w:rFonts w:cstheme="minorHAnsi"/>
          <w:color w:val="000000" w:themeColor="text1"/>
          <w:lang w:val="en-US"/>
        </w:rPr>
        <w:t xml:space="preserve"> </w:t>
      </w:r>
      <w:r w:rsidR="00F03B21" w:rsidRPr="00156087">
        <w:rPr>
          <w:rFonts w:cstheme="minorHAnsi"/>
          <w:color w:val="000000" w:themeColor="text1"/>
          <w:shd w:val="clear" w:color="auto" w:fill="FFFFFF"/>
          <w:lang w:val="en-US"/>
        </w:rPr>
        <w:t xml:space="preserve">Stratification of study population according to time of diagnosis (1975-1982, 1985-1992 and 1995-2002) and age at diagnosis (0-10, 11-20 and 21-30). The number of individuals in each stratum is also shown. Examples are shown in the blue/red lines: Persons who had a first cancer diagnosis in June 1981, 1991, or 2001 (blue lines), were alive by 01.06.2016 (35, 25 or 15 years after the </w:t>
      </w:r>
      <w:proofErr w:type="gramStart"/>
      <w:r w:rsidR="00F03B21" w:rsidRPr="00156087">
        <w:rPr>
          <w:rFonts w:cstheme="minorHAnsi"/>
          <w:color w:val="000000" w:themeColor="text1"/>
          <w:shd w:val="clear" w:color="auto" w:fill="FFFFFF"/>
          <w:lang w:val="en-US"/>
        </w:rPr>
        <w:t>diagnosis)(</w:t>
      </w:r>
      <w:proofErr w:type="gramEnd"/>
      <w:r w:rsidR="00F03B21" w:rsidRPr="00156087">
        <w:rPr>
          <w:rFonts w:cstheme="minorHAnsi"/>
          <w:color w:val="000000" w:themeColor="text1"/>
          <w:shd w:val="clear" w:color="auto" w:fill="FFFFFF"/>
          <w:lang w:val="en-US"/>
        </w:rPr>
        <w:t>red line), and had no second cancer before 01.01.2015 (end of cancer registry data)(red line), were followed with respect to drug use in 365 days from 01.06.2011. The number of individuals in the different age groups in the period where drug use is captured (2005-2013) is the sum of relevant individuals from the different periods of cancer diagnosis (illustrated by the grey arrows).</w:t>
      </w:r>
    </w:p>
    <w:p w14:paraId="56682878" w14:textId="77777777" w:rsidR="008612C7" w:rsidRPr="00156087" w:rsidRDefault="008612C7" w:rsidP="008612C7">
      <w:pPr>
        <w:spacing w:after="0" w:line="360" w:lineRule="auto"/>
        <w:rPr>
          <w:rFonts w:cstheme="minorHAnsi"/>
          <w:b/>
          <w:color w:val="000000" w:themeColor="text1"/>
          <w:lang w:val="en-US"/>
        </w:rPr>
      </w:pPr>
    </w:p>
    <w:p w14:paraId="74E567C5" w14:textId="03BC7D58" w:rsidR="008612C7" w:rsidRPr="00156087" w:rsidRDefault="008612C7" w:rsidP="008612C7">
      <w:pPr>
        <w:spacing w:after="0" w:line="360" w:lineRule="auto"/>
        <w:rPr>
          <w:rFonts w:cstheme="minorHAnsi"/>
          <w:color w:val="000000" w:themeColor="text1"/>
          <w:lang w:val="en-US"/>
        </w:rPr>
      </w:pPr>
      <w:r w:rsidRPr="00156087">
        <w:rPr>
          <w:rFonts w:cstheme="minorHAnsi"/>
          <w:b/>
          <w:color w:val="000000" w:themeColor="text1"/>
          <w:lang w:val="en-US"/>
        </w:rPr>
        <w:t xml:space="preserve">Figure 3: </w:t>
      </w:r>
      <w:r w:rsidRPr="00156087">
        <w:rPr>
          <w:rFonts w:cstheme="minorHAnsi"/>
          <w:color w:val="000000" w:themeColor="text1"/>
          <w:lang w:val="en-US"/>
        </w:rPr>
        <w:t xml:space="preserve">Age adjusted prevalence ratios (N/1000) with 95 % confidence intervals of study drugs and prescription patterns for the complete study population (aged 20-59 years) and stratified by cancer type. </w:t>
      </w:r>
      <w:r w:rsidR="007E6113" w:rsidRPr="00156087">
        <w:rPr>
          <w:rFonts w:cstheme="minorHAnsi"/>
          <w:color w:val="000000" w:themeColor="text1"/>
          <w:lang w:val="en-US"/>
        </w:rPr>
        <w:t xml:space="preserve">Males </w:t>
      </w:r>
      <w:r w:rsidRPr="00156087">
        <w:rPr>
          <w:rFonts w:cstheme="minorHAnsi"/>
          <w:color w:val="000000" w:themeColor="text1"/>
          <w:lang w:val="en-US"/>
        </w:rPr>
        <w:t xml:space="preserve">in blue, </w:t>
      </w:r>
      <w:r w:rsidR="007E6113" w:rsidRPr="00156087">
        <w:rPr>
          <w:rFonts w:cstheme="minorHAnsi"/>
          <w:color w:val="000000" w:themeColor="text1"/>
          <w:lang w:val="en-US"/>
        </w:rPr>
        <w:t xml:space="preserve">females </w:t>
      </w:r>
      <w:r w:rsidRPr="00156087">
        <w:rPr>
          <w:rFonts w:cstheme="minorHAnsi"/>
          <w:color w:val="000000" w:themeColor="text1"/>
          <w:lang w:val="en-US"/>
        </w:rPr>
        <w:t xml:space="preserve">in red. If 95 % confidence interval does not include the horizontal line, there is statistically significant difference between study population and general population. The horizontal lines indicate the prevalence of the general population aged 20-59 yrs. Number of drug users are given at bottom.  </w:t>
      </w:r>
    </w:p>
    <w:p w14:paraId="1FCAEB27" w14:textId="77777777" w:rsidR="008612C7" w:rsidRPr="00156087" w:rsidRDefault="008612C7" w:rsidP="008612C7">
      <w:pPr>
        <w:spacing w:after="0" w:line="360" w:lineRule="auto"/>
        <w:rPr>
          <w:rFonts w:cstheme="minorHAnsi"/>
          <w:color w:val="000000" w:themeColor="text1"/>
          <w:lang w:val="en-US"/>
        </w:rPr>
        <w:sectPr w:rsidR="008612C7" w:rsidRPr="00156087" w:rsidSect="00DE4CD3">
          <w:footerReference w:type="default" r:id="rId8"/>
          <w:type w:val="continuous"/>
          <w:pgSz w:w="11906" w:h="16838"/>
          <w:pgMar w:top="1417" w:right="1274" w:bottom="1417" w:left="1417" w:header="708" w:footer="708" w:gutter="0"/>
          <w:cols w:sep="1" w:space="709"/>
          <w:docGrid w:linePitch="360"/>
        </w:sectPr>
      </w:pPr>
    </w:p>
    <w:p w14:paraId="46ABF0F0" w14:textId="77777777" w:rsidR="008612C7" w:rsidRPr="00156087" w:rsidRDefault="008612C7" w:rsidP="008612C7">
      <w:pPr>
        <w:spacing w:after="0" w:line="360" w:lineRule="auto"/>
        <w:rPr>
          <w:rFonts w:cstheme="minorHAnsi"/>
          <w:b/>
          <w:color w:val="000000" w:themeColor="text1"/>
          <w:lang w:val="en-US"/>
        </w:rPr>
      </w:pPr>
    </w:p>
    <w:p w14:paraId="4D4702C0" w14:textId="01B5F699" w:rsidR="008612C7" w:rsidRPr="00156087" w:rsidRDefault="008612C7" w:rsidP="008612C7">
      <w:pPr>
        <w:spacing w:after="0" w:line="360" w:lineRule="auto"/>
        <w:rPr>
          <w:rFonts w:cstheme="minorHAnsi"/>
          <w:color w:val="000000" w:themeColor="text1"/>
          <w:lang w:val="en-US"/>
        </w:rPr>
      </w:pPr>
      <w:r w:rsidRPr="00156087">
        <w:rPr>
          <w:rFonts w:cstheme="minorHAnsi"/>
          <w:b/>
          <w:color w:val="000000" w:themeColor="text1"/>
          <w:lang w:val="en-US"/>
        </w:rPr>
        <w:t xml:space="preserve">Figure 4: </w:t>
      </w:r>
      <w:r w:rsidRPr="00156087">
        <w:rPr>
          <w:rFonts w:cstheme="minorHAnsi"/>
          <w:color w:val="000000" w:themeColor="text1"/>
          <w:lang w:val="en-US"/>
        </w:rPr>
        <w:t>Venn diagrams of co-medication with high doses of benzodiazepines (Benzo) and benzodiazepine-related hypnotics (</w:t>
      </w:r>
      <w:proofErr w:type="spellStart"/>
      <w:r w:rsidRPr="00156087">
        <w:rPr>
          <w:rFonts w:cstheme="minorHAnsi"/>
          <w:color w:val="000000" w:themeColor="text1"/>
          <w:lang w:val="en-US"/>
        </w:rPr>
        <w:t>BenzoLike</w:t>
      </w:r>
      <w:proofErr w:type="spellEnd"/>
      <w:r w:rsidRPr="00156087">
        <w:rPr>
          <w:rFonts w:cstheme="minorHAnsi"/>
          <w:color w:val="000000" w:themeColor="text1"/>
          <w:lang w:val="en-US"/>
        </w:rPr>
        <w:t>) in patients with persistent or high-dose opioid (</w:t>
      </w:r>
      <w:proofErr w:type="spellStart"/>
      <w:r w:rsidRPr="00156087">
        <w:rPr>
          <w:rFonts w:cstheme="minorHAnsi"/>
          <w:color w:val="000000" w:themeColor="text1"/>
          <w:lang w:val="en-US"/>
        </w:rPr>
        <w:t>Opio</w:t>
      </w:r>
      <w:proofErr w:type="spellEnd"/>
      <w:r w:rsidRPr="00156087">
        <w:rPr>
          <w:rFonts w:cstheme="minorHAnsi"/>
          <w:color w:val="000000" w:themeColor="text1"/>
          <w:lang w:val="en-US"/>
        </w:rPr>
        <w:t xml:space="preserve">) use in the study population of cancer survivors and the general population. </w:t>
      </w:r>
    </w:p>
    <w:p w14:paraId="29A3CABF" w14:textId="27B866F4" w:rsidR="00DE4CD3" w:rsidRPr="00156087" w:rsidRDefault="00DE4CD3" w:rsidP="00DE4CD3">
      <w:pPr>
        <w:tabs>
          <w:tab w:val="right" w:pos="540"/>
          <w:tab w:val="left" w:pos="720"/>
        </w:tabs>
        <w:spacing w:after="0" w:line="480" w:lineRule="auto"/>
        <w:ind w:left="720" w:hanging="720"/>
        <w:rPr>
          <w:rFonts w:cstheme="minorHAnsi"/>
          <w:color w:val="000000" w:themeColor="text1"/>
          <w:lang w:val="en-US"/>
        </w:rPr>
      </w:pPr>
    </w:p>
    <w:sectPr w:rsidR="00DE4CD3" w:rsidRPr="00156087" w:rsidSect="00DE4CD3">
      <w:footerReference w:type="default" r:id="rId9"/>
      <w:type w:val="continuous"/>
      <w:pgSz w:w="11906" w:h="16838"/>
      <w:pgMar w:top="1134" w:right="1417" w:bottom="993" w:left="1417"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72F23" w14:textId="77777777" w:rsidR="004C799A" w:rsidRDefault="004C799A" w:rsidP="00081448">
      <w:pPr>
        <w:spacing w:after="0" w:line="240" w:lineRule="auto"/>
      </w:pPr>
      <w:r>
        <w:separator/>
      </w:r>
    </w:p>
  </w:endnote>
  <w:endnote w:type="continuationSeparator" w:id="0">
    <w:p w14:paraId="25F91474" w14:textId="77777777" w:rsidR="004C799A" w:rsidRDefault="004C799A" w:rsidP="0008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219579"/>
      <w:docPartObj>
        <w:docPartGallery w:val="Page Numbers (Bottom of Page)"/>
        <w:docPartUnique/>
      </w:docPartObj>
    </w:sdtPr>
    <w:sdtEndPr/>
    <w:sdtContent>
      <w:p w14:paraId="3841583E" w14:textId="4D285B7F" w:rsidR="008612C7" w:rsidRDefault="008612C7">
        <w:pPr>
          <w:pStyle w:val="Footer"/>
          <w:jc w:val="right"/>
        </w:pPr>
        <w:r>
          <w:fldChar w:fldCharType="begin"/>
        </w:r>
        <w:r>
          <w:instrText>PAGE   \* MERGEFORMAT</w:instrText>
        </w:r>
        <w:r>
          <w:fldChar w:fldCharType="separate"/>
        </w:r>
        <w:r w:rsidR="007E6113">
          <w:rPr>
            <w:noProof/>
          </w:rPr>
          <w:t>2</w:t>
        </w:r>
        <w:r>
          <w:fldChar w:fldCharType="end"/>
        </w:r>
      </w:p>
    </w:sdtContent>
  </w:sdt>
  <w:p w14:paraId="3DE309DB" w14:textId="77777777" w:rsidR="008612C7" w:rsidRDefault="00861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76255"/>
      <w:docPartObj>
        <w:docPartGallery w:val="Page Numbers (Bottom of Page)"/>
        <w:docPartUnique/>
      </w:docPartObj>
    </w:sdtPr>
    <w:sdtEndPr/>
    <w:sdtContent>
      <w:p w14:paraId="6D678B87" w14:textId="336BD64F" w:rsidR="006177DD" w:rsidRDefault="006177DD">
        <w:pPr>
          <w:pStyle w:val="Footer"/>
          <w:jc w:val="right"/>
        </w:pPr>
        <w:r>
          <w:fldChar w:fldCharType="begin"/>
        </w:r>
        <w:r>
          <w:instrText>PAGE   \* MERGEFORMAT</w:instrText>
        </w:r>
        <w:r>
          <w:fldChar w:fldCharType="separate"/>
        </w:r>
        <w:r w:rsidR="00DE4CD3">
          <w:rPr>
            <w:noProof/>
          </w:rPr>
          <w:t>15</w:t>
        </w:r>
        <w:r>
          <w:fldChar w:fldCharType="end"/>
        </w:r>
      </w:p>
    </w:sdtContent>
  </w:sdt>
  <w:p w14:paraId="3860BC6B" w14:textId="77777777" w:rsidR="006177DD" w:rsidRDefault="00617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893C8" w14:textId="77777777" w:rsidR="004C799A" w:rsidRDefault="004C799A" w:rsidP="00081448">
      <w:pPr>
        <w:spacing w:after="0" w:line="240" w:lineRule="auto"/>
      </w:pPr>
      <w:r>
        <w:separator/>
      </w:r>
    </w:p>
  </w:footnote>
  <w:footnote w:type="continuationSeparator" w:id="0">
    <w:p w14:paraId="59A2A592" w14:textId="77777777" w:rsidR="004C799A" w:rsidRDefault="004C799A" w:rsidP="00081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F11D5"/>
    <w:multiLevelType w:val="hybridMultilevel"/>
    <w:tmpl w:val="070A5450"/>
    <w:lvl w:ilvl="0" w:tplc="C78E34C6">
      <w:start w:val="1"/>
      <w:numFmt w:val="bullet"/>
      <w:lvlText w:val=""/>
      <w:lvlJc w:val="left"/>
      <w:pPr>
        <w:ind w:left="1065" w:hanging="360"/>
      </w:pPr>
      <w:rPr>
        <w:rFonts w:ascii="Wingdings" w:eastAsiaTheme="minorHAnsi" w:hAnsi="Wingdings" w:cstheme="minorBid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15:restartNumberingAfterBreak="0">
    <w:nsid w:val="42E477DE"/>
    <w:multiLevelType w:val="hybridMultilevel"/>
    <w:tmpl w:val="9FDC23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6F94542"/>
    <w:multiLevelType w:val="hybridMultilevel"/>
    <w:tmpl w:val="8348D3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8225C4F"/>
    <w:multiLevelType w:val="hybridMultilevel"/>
    <w:tmpl w:val="22FC7FA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70DE4717"/>
    <w:multiLevelType w:val="hybridMultilevel"/>
    <w:tmpl w:val="2C24E3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BFE06CF"/>
    <w:multiLevelType w:val="hybridMultilevel"/>
    <w:tmpl w:val="26AE5630"/>
    <w:lvl w:ilvl="0" w:tplc="170A576C">
      <w:start w:val="1"/>
      <w:numFmt w:val="bullet"/>
      <w:lvlText w:val=""/>
      <w:lvlJc w:val="left"/>
      <w:pPr>
        <w:ind w:left="2490" w:hanging="360"/>
      </w:pPr>
      <w:rPr>
        <w:rFonts w:ascii="Wingdings" w:eastAsiaTheme="minorHAnsi" w:hAnsi="Wingdings" w:cstheme="minorBidi"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Pain&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2&lt;/LineSpacing&gt;&lt;SpaceAfter&gt;1&lt;/SpaceAfter&gt;&lt;ReflistOrder&gt;1&lt;/ReflistOrder&gt;&lt;CitationOrder&gt;2&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kreftoverlevere&lt;/item&gt;&lt;/Libraries&gt;&lt;/ENLibraries&gt;"/>
  </w:docVars>
  <w:rsids>
    <w:rsidRoot w:val="002E76CE"/>
    <w:rsid w:val="00001CF1"/>
    <w:rsid w:val="00001F02"/>
    <w:rsid w:val="000027AE"/>
    <w:rsid w:val="0000358C"/>
    <w:rsid w:val="00012C1F"/>
    <w:rsid w:val="000152BD"/>
    <w:rsid w:val="00015643"/>
    <w:rsid w:val="00022BE9"/>
    <w:rsid w:val="00025950"/>
    <w:rsid w:val="00026F8D"/>
    <w:rsid w:val="00030E25"/>
    <w:rsid w:val="00031D54"/>
    <w:rsid w:val="000331D3"/>
    <w:rsid w:val="00034BC6"/>
    <w:rsid w:val="000502DA"/>
    <w:rsid w:val="0005151A"/>
    <w:rsid w:val="00052C04"/>
    <w:rsid w:val="000554DF"/>
    <w:rsid w:val="00056405"/>
    <w:rsid w:val="0006647A"/>
    <w:rsid w:val="00067096"/>
    <w:rsid w:val="000678E6"/>
    <w:rsid w:val="00067E0D"/>
    <w:rsid w:val="00072F4F"/>
    <w:rsid w:val="00074495"/>
    <w:rsid w:val="00074BC1"/>
    <w:rsid w:val="00075B2A"/>
    <w:rsid w:val="000767D6"/>
    <w:rsid w:val="00076C60"/>
    <w:rsid w:val="00076ECB"/>
    <w:rsid w:val="00077C99"/>
    <w:rsid w:val="00081448"/>
    <w:rsid w:val="00085030"/>
    <w:rsid w:val="00085BCB"/>
    <w:rsid w:val="00090D07"/>
    <w:rsid w:val="00091F27"/>
    <w:rsid w:val="00093607"/>
    <w:rsid w:val="00094DE9"/>
    <w:rsid w:val="000956AE"/>
    <w:rsid w:val="000A20F6"/>
    <w:rsid w:val="000A2FA2"/>
    <w:rsid w:val="000A6E81"/>
    <w:rsid w:val="000B4E4E"/>
    <w:rsid w:val="000B734D"/>
    <w:rsid w:val="000C22E1"/>
    <w:rsid w:val="000C2A95"/>
    <w:rsid w:val="000C3A26"/>
    <w:rsid w:val="000C4D4B"/>
    <w:rsid w:val="000C5836"/>
    <w:rsid w:val="000C6C6E"/>
    <w:rsid w:val="000C7893"/>
    <w:rsid w:val="000D03C3"/>
    <w:rsid w:val="000D2F8B"/>
    <w:rsid w:val="000E023E"/>
    <w:rsid w:val="000E069F"/>
    <w:rsid w:val="000E089F"/>
    <w:rsid w:val="000F06ED"/>
    <w:rsid w:val="000F1255"/>
    <w:rsid w:val="000F168A"/>
    <w:rsid w:val="000F4EF1"/>
    <w:rsid w:val="00101693"/>
    <w:rsid w:val="00105D4B"/>
    <w:rsid w:val="00106A30"/>
    <w:rsid w:val="001124C3"/>
    <w:rsid w:val="0012389C"/>
    <w:rsid w:val="0012626C"/>
    <w:rsid w:val="001267DC"/>
    <w:rsid w:val="00130E7E"/>
    <w:rsid w:val="001336E6"/>
    <w:rsid w:val="0013476E"/>
    <w:rsid w:val="00142C5C"/>
    <w:rsid w:val="00144804"/>
    <w:rsid w:val="001473BD"/>
    <w:rsid w:val="001505DE"/>
    <w:rsid w:val="00155196"/>
    <w:rsid w:val="00156087"/>
    <w:rsid w:val="00160F57"/>
    <w:rsid w:val="001675D9"/>
    <w:rsid w:val="001729BE"/>
    <w:rsid w:val="00172BBA"/>
    <w:rsid w:val="00181AFA"/>
    <w:rsid w:val="00183BDD"/>
    <w:rsid w:val="001843FD"/>
    <w:rsid w:val="00195BFE"/>
    <w:rsid w:val="00196AE0"/>
    <w:rsid w:val="001A0986"/>
    <w:rsid w:val="001A35BB"/>
    <w:rsid w:val="001A5D54"/>
    <w:rsid w:val="001B0259"/>
    <w:rsid w:val="001B1D4C"/>
    <w:rsid w:val="001B21CF"/>
    <w:rsid w:val="001B7439"/>
    <w:rsid w:val="001C06AE"/>
    <w:rsid w:val="001C317B"/>
    <w:rsid w:val="001C5554"/>
    <w:rsid w:val="001D35DA"/>
    <w:rsid w:val="001D510A"/>
    <w:rsid w:val="001D5E17"/>
    <w:rsid w:val="001E0BB1"/>
    <w:rsid w:val="001E105E"/>
    <w:rsid w:val="001E3524"/>
    <w:rsid w:val="001E66D3"/>
    <w:rsid w:val="001E73D3"/>
    <w:rsid w:val="001F1072"/>
    <w:rsid w:val="001F1BE6"/>
    <w:rsid w:val="001F31ED"/>
    <w:rsid w:val="001F6F7D"/>
    <w:rsid w:val="00202184"/>
    <w:rsid w:val="00203142"/>
    <w:rsid w:val="002049DD"/>
    <w:rsid w:val="00210A79"/>
    <w:rsid w:val="0021457C"/>
    <w:rsid w:val="002154BE"/>
    <w:rsid w:val="002176AA"/>
    <w:rsid w:val="0022098D"/>
    <w:rsid w:val="002218D1"/>
    <w:rsid w:val="00221A66"/>
    <w:rsid w:val="002225E1"/>
    <w:rsid w:val="00241E2D"/>
    <w:rsid w:val="0025036D"/>
    <w:rsid w:val="002506AC"/>
    <w:rsid w:val="0025206E"/>
    <w:rsid w:val="002551B9"/>
    <w:rsid w:val="00256FF5"/>
    <w:rsid w:val="00257232"/>
    <w:rsid w:val="00257B75"/>
    <w:rsid w:val="002606BA"/>
    <w:rsid w:val="00260A1B"/>
    <w:rsid w:val="002634CB"/>
    <w:rsid w:val="00271B04"/>
    <w:rsid w:val="00271B33"/>
    <w:rsid w:val="002767C5"/>
    <w:rsid w:val="0028265E"/>
    <w:rsid w:val="00283D48"/>
    <w:rsid w:val="00286EA5"/>
    <w:rsid w:val="002903C6"/>
    <w:rsid w:val="002926F1"/>
    <w:rsid w:val="00296E1E"/>
    <w:rsid w:val="00296FC7"/>
    <w:rsid w:val="002A08AD"/>
    <w:rsid w:val="002A2488"/>
    <w:rsid w:val="002A281D"/>
    <w:rsid w:val="002A3163"/>
    <w:rsid w:val="002A4B36"/>
    <w:rsid w:val="002A6844"/>
    <w:rsid w:val="002B42E0"/>
    <w:rsid w:val="002B6635"/>
    <w:rsid w:val="002B7F16"/>
    <w:rsid w:val="002C5248"/>
    <w:rsid w:val="002D2207"/>
    <w:rsid w:val="002D49AC"/>
    <w:rsid w:val="002D52F6"/>
    <w:rsid w:val="002D64D8"/>
    <w:rsid w:val="002D6E1F"/>
    <w:rsid w:val="002E2243"/>
    <w:rsid w:val="002E76CE"/>
    <w:rsid w:val="002F1726"/>
    <w:rsid w:val="002F254C"/>
    <w:rsid w:val="002F3B0E"/>
    <w:rsid w:val="00302873"/>
    <w:rsid w:val="00304996"/>
    <w:rsid w:val="003053A0"/>
    <w:rsid w:val="00306BE4"/>
    <w:rsid w:val="00312714"/>
    <w:rsid w:val="00321F6B"/>
    <w:rsid w:val="00326AFB"/>
    <w:rsid w:val="00334724"/>
    <w:rsid w:val="00341C22"/>
    <w:rsid w:val="00342992"/>
    <w:rsid w:val="00346164"/>
    <w:rsid w:val="003462A6"/>
    <w:rsid w:val="00347461"/>
    <w:rsid w:val="00350A3A"/>
    <w:rsid w:val="003513F5"/>
    <w:rsid w:val="0036273F"/>
    <w:rsid w:val="00373605"/>
    <w:rsid w:val="0037394A"/>
    <w:rsid w:val="00373F0A"/>
    <w:rsid w:val="00376B66"/>
    <w:rsid w:val="0038045C"/>
    <w:rsid w:val="00380DD7"/>
    <w:rsid w:val="00381A56"/>
    <w:rsid w:val="00381D6C"/>
    <w:rsid w:val="00382FE7"/>
    <w:rsid w:val="00387380"/>
    <w:rsid w:val="00391CE5"/>
    <w:rsid w:val="00392925"/>
    <w:rsid w:val="003A420E"/>
    <w:rsid w:val="003A5A62"/>
    <w:rsid w:val="003B053F"/>
    <w:rsid w:val="003B1E9D"/>
    <w:rsid w:val="003B4F89"/>
    <w:rsid w:val="003B5CA8"/>
    <w:rsid w:val="003B64BE"/>
    <w:rsid w:val="003C12E6"/>
    <w:rsid w:val="003C341E"/>
    <w:rsid w:val="003C5BC7"/>
    <w:rsid w:val="003C703E"/>
    <w:rsid w:val="003D1E8D"/>
    <w:rsid w:val="003D3695"/>
    <w:rsid w:val="003D4814"/>
    <w:rsid w:val="003E176D"/>
    <w:rsid w:val="003E2042"/>
    <w:rsid w:val="003E4064"/>
    <w:rsid w:val="003F2F62"/>
    <w:rsid w:val="003F3795"/>
    <w:rsid w:val="004012A2"/>
    <w:rsid w:val="00407968"/>
    <w:rsid w:val="00410E8B"/>
    <w:rsid w:val="00415429"/>
    <w:rsid w:val="00415CD5"/>
    <w:rsid w:val="004170EC"/>
    <w:rsid w:val="00425C0F"/>
    <w:rsid w:val="004306F2"/>
    <w:rsid w:val="00434D38"/>
    <w:rsid w:val="00445D67"/>
    <w:rsid w:val="00455667"/>
    <w:rsid w:val="00456733"/>
    <w:rsid w:val="004602BF"/>
    <w:rsid w:val="00460725"/>
    <w:rsid w:val="0046572E"/>
    <w:rsid w:val="004727D7"/>
    <w:rsid w:val="004831EC"/>
    <w:rsid w:val="00484121"/>
    <w:rsid w:val="00485889"/>
    <w:rsid w:val="004906BA"/>
    <w:rsid w:val="004A049E"/>
    <w:rsid w:val="004A132E"/>
    <w:rsid w:val="004A1740"/>
    <w:rsid w:val="004B1FC2"/>
    <w:rsid w:val="004C162F"/>
    <w:rsid w:val="004C1EF7"/>
    <w:rsid w:val="004C3224"/>
    <w:rsid w:val="004C69D0"/>
    <w:rsid w:val="004C799A"/>
    <w:rsid w:val="004D1848"/>
    <w:rsid w:val="004D5870"/>
    <w:rsid w:val="004D7C8E"/>
    <w:rsid w:val="004E470A"/>
    <w:rsid w:val="004F1930"/>
    <w:rsid w:val="004F6C2D"/>
    <w:rsid w:val="004F7FBB"/>
    <w:rsid w:val="00500175"/>
    <w:rsid w:val="00502318"/>
    <w:rsid w:val="005027DF"/>
    <w:rsid w:val="005036B7"/>
    <w:rsid w:val="00507489"/>
    <w:rsid w:val="0051066C"/>
    <w:rsid w:val="00510EDA"/>
    <w:rsid w:val="00514292"/>
    <w:rsid w:val="005147EB"/>
    <w:rsid w:val="0052128F"/>
    <w:rsid w:val="0052231B"/>
    <w:rsid w:val="00522A2C"/>
    <w:rsid w:val="00524304"/>
    <w:rsid w:val="005274C9"/>
    <w:rsid w:val="0053569B"/>
    <w:rsid w:val="00537DE7"/>
    <w:rsid w:val="005418CF"/>
    <w:rsid w:val="005448EF"/>
    <w:rsid w:val="00553C26"/>
    <w:rsid w:val="00554CC3"/>
    <w:rsid w:val="00555EE7"/>
    <w:rsid w:val="0056100E"/>
    <w:rsid w:val="005618DE"/>
    <w:rsid w:val="00561B08"/>
    <w:rsid w:val="005624FB"/>
    <w:rsid w:val="00567696"/>
    <w:rsid w:val="00567D83"/>
    <w:rsid w:val="0057150E"/>
    <w:rsid w:val="00571973"/>
    <w:rsid w:val="00573DF5"/>
    <w:rsid w:val="00581492"/>
    <w:rsid w:val="00584298"/>
    <w:rsid w:val="00593B68"/>
    <w:rsid w:val="00595424"/>
    <w:rsid w:val="005B0256"/>
    <w:rsid w:val="005B1789"/>
    <w:rsid w:val="005B6C0E"/>
    <w:rsid w:val="005B7100"/>
    <w:rsid w:val="005C5708"/>
    <w:rsid w:val="005D0CC3"/>
    <w:rsid w:val="005D7B08"/>
    <w:rsid w:val="005E2BAF"/>
    <w:rsid w:val="005E2F0B"/>
    <w:rsid w:val="005E32E4"/>
    <w:rsid w:val="005E62F7"/>
    <w:rsid w:val="005F2185"/>
    <w:rsid w:val="00605B28"/>
    <w:rsid w:val="00605B81"/>
    <w:rsid w:val="006070CB"/>
    <w:rsid w:val="0061158C"/>
    <w:rsid w:val="00615820"/>
    <w:rsid w:val="006177DD"/>
    <w:rsid w:val="0062012D"/>
    <w:rsid w:val="00620E78"/>
    <w:rsid w:val="00623201"/>
    <w:rsid w:val="00635ABF"/>
    <w:rsid w:val="0063702B"/>
    <w:rsid w:val="006423A6"/>
    <w:rsid w:val="00642BFE"/>
    <w:rsid w:val="00643FD2"/>
    <w:rsid w:val="00647D81"/>
    <w:rsid w:val="00647F9B"/>
    <w:rsid w:val="0065295E"/>
    <w:rsid w:val="006537C1"/>
    <w:rsid w:val="00654343"/>
    <w:rsid w:val="006602D9"/>
    <w:rsid w:val="006665E9"/>
    <w:rsid w:val="00667B60"/>
    <w:rsid w:val="00670C43"/>
    <w:rsid w:val="00672BEF"/>
    <w:rsid w:val="00675C01"/>
    <w:rsid w:val="00676F8B"/>
    <w:rsid w:val="00677556"/>
    <w:rsid w:val="00681463"/>
    <w:rsid w:val="00683F89"/>
    <w:rsid w:val="00686557"/>
    <w:rsid w:val="00690522"/>
    <w:rsid w:val="006912D3"/>
    <w:rsid w:val="00692820"/>
    <w:rsid w:val="006A2123"/>
    <w:rsid w:val="006A3934"/>
    <w:rsid w:val="006A7C04"/>
    <w:rsid w:val="006B63E8"/>
    <w:rsid w:val="006B720A"/>
    <w:rsid w:val="006B7961"/>
    <w:rsid w:val="006C04C5"/>
    <w:rsid w:val="006C3713"/>
    <w:rsid w:val="006C3982"/>
    <w:rsid w:val="006C6F97"/>
    <w:rsid w:val="006D0425"/>
    <w:rsid w:val="006D1DB0"/>
    <w:rsid w:val="006D4F64"/>
    <w:rsid w:val="006E00E4"/>
    <w:rsid w:val="006E0187"/>
    <w:rsid w:val="006E2333"/>
    <w:rsid w:val="006E2CD0"/>
    <w:rsid w:val="006E38CB"/>
    <w:rsid w:val="006E53B5"/>
    <w:rsid w:val="006E59C0"/>
    <w:rsid w:val="006E5CF8"/>
    <w:rsid w:val="006F2DBC"/>
    <w:rsid w:val="006F417D"/>
    <w:rsid w:val="006F633F"/>
    <w:rsid w:val="006F65A8"/>
    <w:rsid w:val="00705FA0"/>
    <w:rsid w:val="00706FA7"/>
    <w:rsid w:val="00712169"/>
    <w:rsid w:val="007125E3"/>
    <w:rsid w:val="00715DE2"/>
    <w:rsid w:val="00716C18"/>
    <w:rsid w:val="0072054C"/>
    <w:rsid w:val="00720919"/>
    <w:rsid w:val="007263C4"/>
    <w:rsid w:val="00726C92"/>
    <w:rsid w:val="0073276F"/>
    <w:rsid w:val="00734BFA"/>
    <w:rsid w:val="0073771F"/>
    <w:rsid w:val="007430B0"/>
    <w:rsid w:val="00744D9E"/>
    <w:rsid w:val="00746C78"/>
    <w:rsid w:val="00760976"/>
    <w:rsid w:val="00761FFC"/>
    <w:rsid w:val="00762AF8"/>
    <w:rsid w:val="00763829"/>
    <w:rsid w:val="00773C2F"/>
    <w:rsid w:val="00774B00"/>
    <w:rsid w:val="00775E30"/>
    <w:rsid w:val="00783B02"/>
    <w:rsid w:val="00786FE3"/>
    <w:rsid w:val="00787572"/>
    <w:rsid w:val="0079186B"/>
    <w:rsid w:val="0079567C"/>
    <w:rsid w:val="007A33BB"/>
    <w:rsid w:val="007A4768"/>
    <w:rsid w:val="007A4B12"/>
    <w:rsid w:val="007B42A7"/>
    <w:rsid w:val="007B5FF5"/>
    <w:rsid w:val="007C0AC7"/>
    <w:rsid w:val="007C3400"/>
    <w:rsid w:val="007C4EC5"/>
    <w:rsid w:val="007D3EA4"/>
    <w:rsid w:val="007D5462"/>
    <w:rsid w:val="007D626C"/>
    <w:rsid w:val="007E3994"/>
    <w:rsid w:val="007E6113"/>
    <w:rsid w:val="007F3B61"/>
    <w:rsid w:val="007F4E0A"/>
    <w:rsid w:val="00800E6B"/>
    <w:rsid w:val="00802E1A"/>
    <w:rsid w:val="00803394"/>
    <w:rsid w:val="008046BF"/>
    <w:rsid w:val="00812674"/>
    <w:rsid w:val="00814275"/>
    <w:rsid w:val="0081625F"/>
    <w:rsid w:val="0081627B"/>
    <w:rsid w:val="00820164"/>
    <w:rsid w:val="00821CF7"/>
    <w:rsid w:val="00826485"/>
    <w:rsid w:val="008305E8"/>
    <w:rsid w:val="00835EA7"/>
    <w:rsid w:val="008372F0"/>
    <w:rsid w:val="008456F2"/>
    <w:rsid w:val="00856C07"/>
    <w:rsid w:val="00860363"/>
    <w:rsid w:val="00860B66"/>
    <w:rsid w:val="008612C7"/>
    <w:rsid w:val="00862CE1"/>
    <w:rsid w:val="00862D7D"/>
    <w:rsid w:val="00863F5F"/>
    <w:rsid w:val="0086584A"/>
    <w:rsid w:val="00871DFE"/>
    <w:rsid w:val="00876BA1"/>
    <w:rsid w:val="00886423"/>
    <w:rsid w:val="0088791A"/>
    <w:rsid w:val="008924A6"/>
    <w:rsid w:val="00892625"/>
    <w:rsid w:val="008948A5"/>
    <w:rsid w:val="00895ED3"/>
    <w:rsid w:val="00896192"/>
    <w:rsid w:val="008B0BDA"/>
    <w:rsid w:val="008B0C6C"/>
    <w:rsid w:val="008B1434"/>
    <w:rsid w:val="008C1648"/>
    <w:rsid w:val="008C794F"/>
    <w:rsid w:val="008D04BD"/>
    <w:rsid w:val="008D0700"/>
    <w:rsid w:val="008D6F82"/>
    <w:rsid w:val="008D7D15"/>
    <w:rsid w:val="008D7FD7"/>
    <w:rsid w:val="008E0E27"/>
    <w:rsid w:val="008E5918"/>
    <w:rsid w:val="008E68FB"/>
    <w:rsid w:val="008F077E"/>
    <w:rsid w:val="008F09C1"/>
    <w:rsid w:val="008F0D1B"/>
    <w:rsid w:val="008F272D"/>
    <w:rsid w:val="008F3DD5"/>
    <w:rsid w:val="008F45D4"/>
    <w:rsid w:val="009013A0"/>
    <w:rsid w:val="00903790"/>
    <w:rsid w:val="009040D3"/>
    <w:rsid w:val="009116CA"/>
    <w:rsid w:val="00913E7D"/>
    <w:rsid w:val="00914199"/>
    <w:rsid w:val="00917338"/>
    <w:rsid w:val="009201DE"/>
    <w:rsid w:val="009237A8"/>
    <w:rsid w:val="009240FF"/>
    <w:rsid w:val="009270BA"/>
    <w:rsid w:val="0093102D"/>
    <w:rsid w:val="00932627"/>
    <w:rsid w:val="00932BCF"/>
    <w:rsid w:val="00934369"/>
    <w:rsid w:val="00936599"/>
    <w:rsid w:val="009366E8"/>
    <w:rsid w:val="0093724C"/>
    <w:rsid w:val="009374E6"/>
    <w:rsid w:val="00941B73"/>
    <w:rsid w:val="00941C42"/>
    <w:rsid w:val="00942E69"/>
    <w:rsid w:val="00943C94"/>
    <w:rsid w:val="00945525"/>
    <w:rsid w:val="00955984"/>
    <w:rsid w:val="0095704C"/>
    <w:rsid w:val="00960784"/>
    <w:rsid w:val="00960D5C"/>
    <w:rsid w:val="00960F78"/>
    <w:rsid w:val="009633C4"/>
    <w:rsid w:val="009769AA"/>
    <w:rsid w:val="0097758C"/>
    <w:rsid w:val="00980153"/>
    <w:rsid w:val="00981990"/>
    <w:rsid w:val="00982D80"/>
    <w:rsid w:val="00986211"/>
    <w:rsid w:val="00990376"/>
    <w:rsid w:val="00990B0B"/>
    <w:rsid w:val="00991408"/>
    <w:rsid w:val="009937FD"/>
    <w:rsid w:val="00997740"/>
    <w:rsid w:val="0099785C"/>
    <w:rsid w:val="009A011D"/>
    <w:rsid w:val="009A1F4D"/>
    <w:rsid w:val="009A761F"/>
    <w:rsid w:val="009B2BD1"/>
    <w:rsid w:val="009B34A5"/>
    <w:rsid w:val="009C7DCD"/>
    <w:rsid w:val="009D017E"/>
    <w:rsid w:val="009D123F"/>
    <w:rsid w:val="009D19FE"/>
    <w:rsid w:val="009D3D7E"/>
    <w:rsid w:val="009E0844"/>
    <w:rsid w:val="009E7A91"/>
    <w:rsid w:val="009F7436"/>
    <w:rsid w:val="00A1361E"/>
    <w:rsid w:val="00A24192"/>
    <w:rsid w:val="00A24539"/>
    <w:rsid w:val="00A2571F"/>
    <w:rsid w:val="00A31694"/>
    <w:rsid w:val="00A32D62"/>
    <w:rsid w:val="00A4322D"/>
    <w:rsid w:val="00A45F6A"/>
    <w:rsid w:val="00A467EE"/>
    <w:rsid w:val="00A473D7"/>
    <w:rsid w:val="00A47806"/>
    <w:rsid w:val="00A540FD"/>
    <w:rsid w:val="00A552D7"/>
    <w:rsid w:val="00A61F94"/>
    <w:rsid w:val="00A6214C"/>
    <w:rsid w:val="00A645AE"/>
    <w:rsid w:val="00A653EF"/>
    <w:rsid w:val="00A65D45"/>
    <w:rsid w:val="00A663ED"/>
    <w:rsid w:val="00A74CE1"/>
    <w:rsid w:val="00A751CD"/>
    <w:rsid w:val="00A75D18"/>
    <w:rsid w:val="00A801F1"/>
    <w:rsid w:val="00A8403D"/>
    <w:rsid w:val="00A87B75"/>
    <w:rsid w:val="00A94985"/>
    <w:rsid w:val="00A955E4"/>
    <w:rsid w:val="00AA05E3"/>
    <w:rsid w:val="00AA454B"/>
    <w:rsid w:val="00AA7CDF"/>
    <w:rsid w:val="00AB4809"/>
    <w:rsid w:val="00AC5006"/>
    <w:rsid w:val="00AC5A21"/>
    <w:rsid w:val="00AC6FAB"/>
    <w:rsid w:val="00AD2703"/>
    <w:rsid w:val="00AD651A"/>
    <w:rsid w:val="00AE3CAA"/>
    <w:rsid w:val="00AF1253"/>
    <w:rsid w:val="00AF1FDB"/>
    <w:rsid w:val="00AF3B99"/>
    <w:rsid w:val="00B02714"/>
    <w:rsid w:val="00B03AF6"/>
    <w:rsid w:val="00B03C03"/>
    <w:rsid w:val="00B13664"/>
    <w:rsid w:val="00B14874"/>
    <w:rsid w:val="00B157FA"/>
    <w:rsid w:val="00B15F3C"/>
    <w:rsid w:val="00B16D9B"/>
    <w:rsid w:val="00B20E31"/>
    <w:rsid w:val="00B2215B"/>
    <w:rsid w:val="00B23245"/>
    <w:rsid w:val="00B348F1"/>
    <w:rsid w:val="00B37368"/>
    <w:rsid w:val="00B42907"/>
    <w:rsid w:val="00B42CD1"/>
    <w:rsid w:val="00B46690"/>
    <w:rsid w:val="00B5446B"/>
    <w:rsid w:val="00B56728"/>
    <w:rsid w:val="00B56964"/>
    <w:rsid w:val="00B64B4A"/>
    <w:rsid w:val="00B67A63"/>
    <w:rsid w:val="00B7023E"/>
    <w:rsid w:val="00B75057"/>
    <w:rsid w:val="00B806D0"/>
    <w:rsid w:val="00B837DE"/>
    <w:rsid w:val="00B845E8"/>
    <w:rsid w:val="00B852FB"/>
    <w:rsid w:val="00B8682A"/>
    <w:rsid w:val="00B87891"/>
    <w:rsid w:val="00B91357"/>
    <w:rsid w:val="00B9286B"/>
    <w:rsid w:val="00B93171"/>
    <w:rsid w:val="00B94B1A"/>
    <w:rsid w:val="00B9523C"/>
    <w:rsid w:val="00BA229D"/>
    <w:rsid w:val="00BA2BC5"/>
    <w:rsid w:val="00BB0BC0"/>
    <w:rsid w:val="00BC42CE"/>
    <w:rsid w:val="00BD1CAE"/>
    <w:rsid w:val="00BE0C63"/>
    <w:rsid w:val="00BE30CD"/>
    <w:rsid w:val="00BE3379"/>
    <w:rsid w:val="00BE4646"/>
    <w:rsid w:val="00BF25F9"/>
    <w:rsid w:val="00BF3BEF"/>
    <w:rsid w:val="00BF6928"/>
    <w:rsid w:val="00BF70A8"/>
    <w:rsid w:val="00C00204"/>
    <w:rsid w:val="00C02BEC"/>
    <w:rsid w:val="00C044E2"/>
    <w:rsid w:val="00C10CF6"/>
    <w:rsid w:val="00C113F0"/>
    <w:rsid w:val="00C11FC6"/>
    <w:rsid w:val="00C26737"/>
    <w:rsid w:val="00C335CC"/>
    <w:rsid w:val="00C41AE2"/>
    <w:rsid w:val="00C42153"/>
    <w:rsid w:val="00C4402C"/>
    <w:rsid w:val="00C47E01"/>
    <w:rsid w:val="00C500EA"/>
    <w:rsid w:val="00C52D78"/>
    <w:rsid w:val="00C53152"/>
    <w:rsid w:val="00C54198"/>
    <w:rsid w:val="00C543E6"/>
    <w:rsid w:val="00C64763"/>
    <w:rsid w:val="00C6479E"/>
    <w:rsid w:val="00C70261"/>
    <w:rsid w:val="00C727AD"/>
    <w:rsid w:val="00C7514E"/>
    <w:rsid w:val="00C76979"/>
    <w:rsid w:val="00C773C2"/>
    <w:rsid w:val="00C806C2"/>
    <w:rsid w:val="00C809B0"/>
    <w:rsid w:val="00C809CE"/>
    <w:rsid w:val="00C814A9"/>
    <w:rsid w:val="00C826FC"/>
    <w:rsid w:val="00C8667F"/>
    <w:rsid w:val="00C91300"/>
    <w:rsid w:val="00C94E3A"/>
    <w:rsid w:val="00C95416"/>
    <w:rsid w:val="00C97CA2"/>
    <w:rsid w:val="00CA4E2E"/>
    <w:rsid w:val="00CB2501"/>
    <w:rsid w:val="00CB2A62"/>
    <w:rsid w:val="00CB34F9"/>
    <w:rsid w:val="00CB6B91"/>
    <w:rsid w:val="00CC10A5"/>
    <w:rsid w:val="00CC1DA1"/>
    <w:rsid w:val="00CC45BB"/>
    <w:rsid w:val="00CC7EE6"/>
    <w:rsid w:val="00CD5EC6"/>
    <w:rsid w:val="00CE5833"/>
    <w:rsid w:val="00CE69A8"/>
    <w:rsid w:val="00D00E61"/>
    <w:rsid w:val="00D03891"/>
    <w:rsid w:val="00D116C4"/>
    <w:rsid w:val="00D131B5"/>
    <w:rsid w:val="00D13775"/>
    <w:rsid w:val="00D15A6E"/>
    <w:rsid w:val="00D15F33"/>
    <w:rsid w:val="00D17515"/>
    <w:rsid w:val="00D233F7"/>
    <w:rsid w:val="00D254F9"/>
    <w:rsid w:val="00D25C51"/>
    <w:rsid w:val="00D26F71"/>
    <w:rsid w:val="00D40795"/>
    <w:rsid w:val="00D40EEA"/>
    <w:rsid w:val="00D4225E"/>
    <w:rsid w:val="00D45703"/>
    <w:rsid w:val="00D463B1"/>
    <w:rsid w:val="00D46402"/>
    <w:rsid w:val="00D50B32"/>
    <w:rsid w:val="00D51E3E"/>
    <w:rsid w:val="00D53E79"/>
    <w:rsid w:val="00D5612D"/>
    <w:rsid w:val="00D621DB"/>
    <w:rsid w:val="00D63C49"/>
    <w:rsid w:val="00D65AAE"/>
    <w:rsid w:val="00D6680F"/>
    <w:rsid w:val="00D7041A"/>
    <w:rsid w:val="00D7088E"/>
    <w:rsid w:val="00D739FF"/>
    <w:rsid w:val="00D74502"/>
    <w:rsid w:val="00D77786"/>
    <w:rsid w:val="00D84F18"/>
    <w:rsid w:val="00D85FD8"/>
    <w:rsid w:val="00D86B1D"/>
    <w:rsid w:val="00D87996"/>
    <w:rsid w:val="00D87A95"/>
    <w:rsid w:val="00D9087D"/>
    <w:rsid w:val="00D9177C"/>
    <w:rsid w:val="00D92757"/>
    <w:rsid w:val="00D94348"/>
    <w:rsid w:val="00D9671F"/>
    <w:rsid w:val="00DA0A43"/>
    <w:rsid w:val="00DA2257"/>
    <w:rsid w:val="00DA44CF"/>
    <w:rsid w:val="00DA590B"/>
    <w:rsid w:val="00DA6686"/>
    <w:rsid w:val="00DA6DD4"/>
    <w:rsid w:val="00DB14F6"/>
    <w:rsid w:val="00DB2569"/>
    <w:rsid w:val="00DB540A"/>
    <w:rsid w:val="00DB6A0B"/>
    <w:rsid w:val="00DC661C"/>
    <w:rsid w:val="00DC7EA9"/>
    <w:rsid w:val="00DD0362"/>
    <w:rsid w:val="00DD26CD"/>
    <w:rsid w:val="00DD4420"/>
    <w:rsid w:val="00DD4FFA"/>
    <w:rsid w:val="00DE185F"/>
    <w:rsid w:val="00DE3019"/>
    <w:rsid w:val="00DE4ADD"/>
    <w:rsid w:val="00DE4CD3"/>
    <w:rsid w:val="00DE5E14"/>
    <w:rsid w:val="00DE726D"/>
    <w:rsid w:val="00DE7F6B"/>
    <w:rsid w:val="00DF0649"/>
    <w:rsid w:val="00DF0FAA"/>
    <w:rsid w:val="00DF3383"/>
    <w:rsid w:val="00DF5AC9"/>
    <w:rsid w:val="00DF74B3"/>
    <w:rsid w:val="00E032DB"/>
    <w:rsid w:val="00E06F7E"/>
    <w:rsid w:val="00E1043D"/>
    <w:rsid w:val="00E24A00"/>
    <w:rsid w:val="00E25972"/>
    <w:rsid w:val="00E33CCC"/>
    <w:rsid w:val="00E350CF"/>
    <w:rsid w:val="00E37E9D"/>
    <w:rsid w:val="00E41B3F"/>
    <w:rsid w:val="00E42967"/>
    <w:rsid w:val="00E42ADB"/>
    <w:rsid w:val="00E52E85"/>
    <w:rsid w:val="00E56402"/>
    <w:rsid w:val="00E6036F"/>
    <w:rsid w:val="00E61D65"/>
    <w:rsid w:val="00E61DB0"/>
    <w:rsid w:val="00E719AB"/>
    <w:rsid w:val="00E71C72"/>
    <w:rsid w:val="00E723CC"/>
    <w:rsid w:val="00E73A8D"/>
    <w:rsid w:val="00E744F1"/>
    <w:rsid w:val="00E75E2B"/>
    <w:rsid w:val="00E90FA0"/>
    <w:rsid w:val="00E94211"/>
    <w:rsid w:val="00E9619B"/>
    <w:rsid w:val="00E96324"/>
    <w:rsid w:val="00E97AC7"/>
    <w:rsid w:val="00EA1850"/>
    <w:rsid w:val="00EA1C3C"/>
    <w:rsid w:val="00EA54ED"/>
    <w:rsid w:val="00EA5C59"/>
    <w:rsid w:val="00EA6671"/>
    <w:rsid w:val="00EA6765"/>
    <w:rsid w:val="00EB1707"/>
    <w:rsid w:val="00EB79FD"/>
    <w:rsid w:val="00EC2740"/>
    <w:rsid w:val="00EC61CC"/>
    <w:rsid w:val="00ED3C07"/>
    <w:rsid w:val="00ED60B2"/>
    <w:rsid w:val="00ED63C9"/>
    <w:rsid w:val="00ED6C44"/>
    <w:rsid w:val="00ED7723"/>
    <w:rsid w:val="00EE04DA"/>
    <w:rsid w:val="00EE1947"/>
    <w:rsid w:val="00EE5588"/>
    <w:rsid w:val="00EE6322"/>
    <w:rsid w:val="00EE6C50"/>
    <w:rsid w:val="00EF10F6"/>
    <w:rsid w:val="00EF2961"/>
    <w:rsid w:val="00EF387E"/>
    <w:rsid w:val="00EF4CAE"/>
    <w:rsid w:val="00F00812"/>
    <w:rsid w:val="00F03B21"/>
    <w:rsid w:val="00F04DFD"/>
    <w:rsid w:val="00F12C4D"/>
    <w:rsid w:val="00F12EC3"/>
    <w:rsid w:val="00F21EFA"/>
    <w:rsid w:val="00F23B6B"/>
    <w:rsid w:val="00F23D07"/>
    <w:rsid w:val="00F246F6"/>
    <w:rsid w:val="00F3246C"/>
    <w:rsid w:val="00F4309A"/>
    <w:rsid w:val="00F430DC"/>
    <w:rsid w:val="00F51C87"/>
    <w:rsid w:val="00F52F79"/>
    <w:rsid w:val="00F56D4C"/>
    <w:rsid w:val="00F64F73"/>
    <w:rsid w:val="00F65365"/>
    <w:rsid w:val="00F70178"/>
    <w:rsid w:val="00F762DF"/>
    <w:rsid w:val="00F8470A"/>
    <w:rsid w:val="00F86ABD"/>
    <w:rsid w:val="00FA480B"/>
    <w:rsid w:val="00FA4A8C"/>
    <w:rsid w:val="00FA6ECA"/>
    <w:rsid w:val="00FB4E5E"/>
    <w:rsid w:val="00FB5A0A"/>
    <w:rsid w:val="00FB6053"/>
    <w:rsid w:val="00FC020D"/>
    <w:rsid w:val="00FC178D"/>
    <w:rsid w:val="00FC22B1"/>
    <w:rsid w:val="00FC26FC"/>
    <w:rsid w:val="00FC33D4"/>
    <w:rsid w:val="00FC4960"/>
    <w:rsid w:val="00FC5C6D"/>
    <w:rsid w:val="00FC68CF"/>
    <w:rsid w:val="00FC743C"/>
    <w:rsid w:val="00FD2BC8"/>
    <w:rsid w:val="00FD4BB1"/>
    <w:rsid w:val="00FD52D5"/>
    <w:rsid w:val="00FE10CB"/>
    <w:rsid w:val="00FE1504"/>
    <w:rsid w:val="00FE21FE"/>
    <w:rsid w:val="00FE3B02"/>
    <w:rsid w:val="00FE56A0"/>
    <w:rsid w:val="00FF0AAE"/>
    <w:rsid w:val="00FF320C"/>
    <w:rsid w:val="00FF4BAD"/>
    <w:rsid w:val="00FF6E4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5BD41"/>
  <w15:docId w15:val="{ADA8BB3D-518D-4823-A2B3-410A0A2D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627"/>
    <w:pPr>
      <w:ind w:left="720"/>
      <w:contextualSpacing/>
    </w:pPr>
  </w:style>
  <w:style w:type="paragraph" w:styleId="BodyText">
    <w:name w:val="Body Text"/>
    <w:basedOn w:val="Normal"/>
    <w:link w:val="BodyTextChar"/>
    <w:uiPriority w:val="99"/>
    <w:unhideWhenUsed/>
    <w:rsid w:val="00BF3BEF"/>
    <w:pPr>
      <w:spacing w:after="120"/>
    </w:pPr>
  </w:style>
  <w:style w:type="character" w:customStyle="1" w:styleId="BodyTextChar">
    <w:name w:val="Body Text Char"/>
    <w:basedOn w:val="DefaultParagraphFont"/>
    <w:link w:val="BodyText"/>
    <w:uiPriority w:val="99"/>
    <w:rsid w:val="00BF3BEF"/>
  </w:style>
  <w:style w:type="paragraph" w:styleId="Header">
    <w:name w:val="header"/>
    <w:basedOn w:val="Normal"/>
    <w:link w:val="HeaderChar"/>
    <w:uiPriority w:val="99"/>
    <w:unhideWhenUsed/>
    <w:rsid w:val="000814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1448"/>
  </w:style>
  <w:style w:type="paragraph" w:styleId="Footer">
    <w:name w:val="footer"/>
    <w:basedOn w:val="Normal"/>
    <w:link w:val="FooterChar"/>
    <w:uiPriority w:val="99"/>
    <w:unhideWhenUsed/>
    <w:rsid w:val="000814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1448"/>
  </w:style>
  <w:style w:type="character" w:styleId="CommentReference">
    <w:name w:val="annotation reference"/>
    <w:basedOn w:val="DefaultParagraphFont"/>
    <w:uiPriority w:val="99"/>
    <w:semiHidden/>
    <w:unhideWhenUsed/>
    <w:rsid w:val="00E90FA0"/>
    <w:rPr>
      <w:sz w:val="16"/>
      <w:szCs w:val="16"/>
    </w:rPr>
  </w:style>
  <w:style w:type="paragraph" w:styleId="CommentText">
    <w:name w:val="annotation text"/>
    <w:basedOn w:val="Normal"/>
    <w:link w:val="CommentTextChar"/>
    <w:uiPriority w:val="99"/>
    <w:semiHidden/>
    <w:unhideWhenUsed/>
    <w:rsid w:val="00E90FA0"/>
    <w:pPr>
      <w:spacing w:line="240" w:lineRule="auto"/>
    </w:pPr>
    <w:rPr>
      <w:sz w:val="20"/>
      <w:szCs w:val="20"/>
    </w:rPr>
  </w:style>
  <w:style w:type="character" w:customStyle="1" w:styleId="CommentTextChar">
    <w:name w:val="Comment Text Char"/>
    <w:basedOn w:val="DefaultParagraphFont"/>
    <w:link w:val="CommentText"/>
    <w:uiPriority w:val="99"/>
    <w:semiHidden/>
    <w:rsid w:val="00E90FA0"/>
    <w:rPr>
      <w:sz w:val="20"/>
      <w:szCs w:val="20"/>
    </w:rPr>
  </w:style>
  <w:style w:type="paragraph" w:styleId="CommentSubject">
    <w:name w:val="annotation subject"/>
    <w:basedOn w:val="CommentText"/>
    <w:next w:val="CommentText"/>
    <w:link w:val="CommentSubjectChar"/>
    <w:uiPriority w:val="99"/>
    <w:semiHidden/>
    <w:unhideWhenUsed/>
    <w:rsid w:val="00E90FA0"/>
    <w:rPr>
      <w:b/>
      <w:bCs/>
    </w:rPr>
  </w:style>
  <w:style w:type="character" w:customStyle="1" w:styleId="CommentSubjectChar">
    <w:name w:val="Comment Subject Char"/>
    <w:basedOn w:val="CommentTextChar"/>
    <w:link w:val="CommentSubject"/>
    <w:uiPriority w:val="99"/>
    <w:semiHidden/>
    <w:rsid w:val="00E90FA0"/>
    <w:rPr>
      <w:b/>
      <w:bCs/>
      <w:sz w:val="20"/>
      <w:szCs w:val="20"/>
    </w:rPr>
  </w:style>
  <w:style w:type="paragraph" w:styleId="BalloonText">
    <w:name w:val="Balloon Text"/>
    <w:basedOn w:val="Normal"/>
    <w:link w:val="BalloonTextChar"/>
    <w:uiPriority w:val="99"/>
    <w:semiHidden/>
    <w:unhideWhenUsed/>
    <w:rsid w:val="00E90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FA0"/>
    <w:rPr>
      <w:rFonts w:ascii="Segoe UI" w:hAnsi="Segoe UI" w:cs="Segoe UI"/>
      <w:sz w:val="18"/>
      <w:szCs w:val="18"/>
    </w:rPr>
  </w:style>
  <w:style w:type="table" w:styleId="TableGrid">
    <w:name w:val="Table Grid"/>
    <w:basedOn w:val="TableNormal"/>
    <w:uiPriority w:val="59"/>
    <w:rsid w:val="001F1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3142"/>
    <w:rPr>
      <w:color w:val="0000FF" w:themeColor="hyperlink"/>
      <w:u w:val="single"/>
    </w:rPr>
  </w:style>
  <w:style w:type="paragraph" w:styleId="NormalWeb">
    <w:name w:val="Normal (Web)"/>
    <w:basedOn w:val="Normal"/>
    <w:uiPriority w:val="99"/>
    <w:semiHidden/>
    <w:unhideWhenUsed/>
    <w:rsid w:val="00085030"/>
    <w:rPr>
      <w:rFonts w:ascii="Times New Roman" w:hAnsi="Times New Roman" w:cs="Times New Roman"/>
      <w:sz w:val="24"/>
      <w:szCs w:val="24"/>
    </w:rPr>
  </w:style>
  <w:style w:type="character" w:styleId="Emphasis">
    <w:name w:val="Emphasis"/>
    <w:basedOn w:val="DefaultParagraphFont"/>
    <w:uiPriority w:val="20"/>
    <w:qFormat/>
    <w:rsid w:val="00DE4CD3"/>
    <w:rPr>
      <w:i/>
      <w:iCs/>
    </w:rPr>
  </w:style>
  <w:style w:type="character" w:customStyle="1" w:styleId="UnresolvedMention1">
    <w:name w:val="Unresolved Mention1"/>
    <w:basedOn w:val="DefaultParagraphFont"/>
    <w:uiPriority w:val="99"/>
    <w:semiHidden/>
    <w:unhideWhenUsed/>
    <w:rsid w:val="00B14874"/>
    <w:rPr>
      <w:color w:val="605E5C"/>
      <w:shd w:val="clear" w:color="auto" w:fill="E1DFDD"/>
    </w:rPr>
  </w:style>
  <w:style w:type="character" w:styleId="UnresolvedMention">
    <w:name w:val="Unresolved Mention"/>
    <w:basedOn w:val="DefaultParagraphFont"/>
    <w:uiPriority w:val="99"/>
    <w:semiHidden/>
    <w:unhideWhenUsed/>
    <w:rsid w:val="00553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9102">
      <w:bodyDiv w:val="1"/>
      <w:marLeft w:val="0"/>
      <w:marRight w:val="0"/>
      <w:marTop w:val="0"/>
      <w:marBottom w:val="0"/>
      <w:divBdr>
        <w:top w:val="none" w:sz="0" w:space="0" w:color="auto"/>
        <w:left w:val="none" w:sz="0" w:space="0" w:color="auto"/>
        <w:bottom w:val="none" w:sz="0" w:space="0" w:color="auto"/>
        <w:right w:val="none" w:sz="0" w:space="0" w:color="auto"/>
      </w:divBdr>
    </w:div>
    <w:div w:id="195584949">
      <w:bodyDiv w:val="1"/>
      <w:marLeft w:val="0"/>
      <w:marRight w:val="0"/>
      <w:marTop w:val="0"/>
      <w:marBottom w:val="0"/>
      <w:divBdr>
        <w:top w:val="none" w:sz="0" w:space="0" w:color="auto"/>
        <w:left w:val="none" w:sz="0" w:space="0" w:color="auto"/>
        <w:bottom w:val="none" w:sz="0" w:space="0" w:color="auto"/>
        <w:right w:val="none" w:sz="0" w:space="0" w:color="auto"/>
      </w:divBdr>
    </w:div>
    <w:div w:id="418526988">
      <w:bodyDiv w:val="1"/>
      <w:marLeft w:val="0"/>
      <w:marRight w:val="0"/>
      <w:marTop w:val="0"/>
      <w:marBottom w:val="0"/>
      <w:divBdr>
        <w:top w:val="none" w:sz="0" w:space="0" w:color="auto"/>
        <w:left w:val="none" w:sz="0" w:space="0" w:color="auto"/>
        <w:bottom w:val="none" w:sz="0" w:space="0" w:color="auto"/>
        <w:right w:val="none" w:sz="0" w:space="0" w:color="auto"/>
      </w:divBdr>
    </w:div>
    <w:div w:id="543490128">
      <w:bodyDiv w:val="1"/>
      <w:marLeft w:val="0"/>
      <w:marRight w:val="0"/>
      <w:marTop w:val="0"/>
      <w:marBottom w:val="0"/>
      <w:divBdr>
        <w:top w:val="none" w:sz="0" w:space="0" w:color="auto"/>
        <w:left w:val="none" w:sz="0" w:space="0" w:color="auto"/>
        <w:bottom w:val="none" w:sz="0" w:space="0" w:color="auto"/>
        <w:right w:val="none" w:sz="0" w:space="0" w:color="auto"/>
      </w:divBdr>
    </w:div>
    <w:div w:id="718016662">
      <w:bodyDiv w:val="1"/>
      <w:marLeft w:val="0"/>
      <w:marRight w:val="0"/>
      <w:marTop w:val="0"/>
      <w:marBottom w:val="0"/>
      <w:divBdr>
        <w:top w:val="none" w:sz="0" w:space="0" w:color="auto"/>
        <w:left w:val="none" w:sz="0" w:space="0" w:color="auto"/>
        <w:bottom w:val="none" w:sz="0" w:space="0" w:color="auto"/>
        <w:right w:val="none" w:sz="0" w:space="0" w:color="auto"/>
      </w:divBdr>
    </w:div>
    <w:div w:id="757605883">
      <w:bodyDiv w:val="1"/>
      <w:marLeft w:val="0"/>
      <w:marRight w:val="0"/>
      <w:marTop w:val="0"/>
      <w:marBottom w:val="0"/>
      <w:divBdr>
        <w:top w:val="none" w:sz="0" w:space="0" w:color="auto"/>
        <w:left w:val="none" w:sz="0" w:space="0" w:color="auto"/>
        <w:bottom w:val="none" w:sz="0" w:space="0" w:color="auto"/>
        <w:right w:val="none" w:sz="0" w:space="0" w:color="auto"/>
      </w:divBdr>
    </w:div>
    <w:div w:id="1051658742">
      <w:bodyDiv w:val="1"/>
      <w:marLeft w:val="0"/>
      <w:marRight w:val="0"/>
      <w:marTop w:val="0"/>
      <w:marBottom w:val="0"/>
      <w:divBdr>
        <w:top w:val="none" w:sz="0" w:space="0" w:color="auto"/>
        <w:left w:val="none" w:sz="0" w:space="0" w:color="auto"/>
        <w:bottom w:val="none" w:sz="0" w:space="0" w:color="auto"/>
        <w:right w:val="none" w:sz="0" w:space="0" w:color="auto"/>
      </w:divBdr>
    </w:div>
    <w:div w:id="1083575387">
      <w:bodyDiv w:val="1"/>
      <w:marLeft w:val="0"/>
      <w:marRight w:val="0"/>
      <w:marTop w:val="0"/>
      <w:marBottom w:val="0"/>
      <w:divBdr>
        <w:top w:val="none" w:sz="0" w:space="0" w:color="auto"/>
        <w:left w:val="none" w:sz="0" w:space="0" w:color="auto"/>
        <w:bottom w:val="none" w:sz="0" w:space="0" w:color="auto"/>
        <w:right w:val="none" w:sz="0" w:space="0" w:color="auto"/>
      </w:divBdr>
    </w:div>
    <w:div w:id="1151408055">
      <w:bodyDiv w:val="1"/>
      <w:marLeft w:val="0"/>
      <w:marRight w:val="0"/>
      <w:marTop w:val="0"/>
      <w:marBottom w:val="0"/>
      <w:divBdr>
        <w:top w:val="none" w:sz="0" w:space="0" w:color="auto"/>
        <w:left w:val="none" w:sz="0" w:space="0" w:color="auto"/>
        <w:bottom w:val="none" w:sz="0" w:space="0" w:color="auto"/>
        <w:right w:val="none" w:sz="0" w:space="0" w:color="auto"/>
      </w:divBdr>
    </w:div>
    <w:div w:id="1194265414">
      <w:bodyDiv w:val="1"/>
      <w:marLeft w:val="0"/>
      <w:marRight w:val="0"/>
      <w:marTop w:val="0"/>
      <w:marBottom w:val="0"/>
      <w:divBdr>
        <w:top w:val="none" w:sz="0" w:space="0" w:color="auto"/>
        <w:left w:val="none" w:sz="0" w:space="0" w:color="auto"/>
        <w:bottom w:val="none" w:sz="0" w:space="0" w:color="auto"/>
        <w:right w:val="none" w:sz="0" w:space="0" w:color="auto"/>
      </w:divBdr>
    </w:div>
    <w:div w:id="1202979790">
      <w:bodyDiv w:val="1"/>
      <w:marLeft w:val="0"/>
      <w:marRight w:val="0"/>
      <w:marTop w:val="0"/>
      <w:marBottom w:val="0"/>
      <w:divBdr>
        <w:top w:val="none" w:sz="0" w:space="0" w:color="auto"/>
        <w:left w:val="none" w:sz="0" w:space="0" w:color="auto"/>
        <w:bottom w:val="none" w:sz="0" w:space="0" w:color="auto"/>
        <w:right w:val="none" w:sz="0" w:space="0" w:color="auto"/>
      </w:divBdr>
    </w:div>
    <w:div w:id="1321697262">
      <w:bodyDiv w:val="1"/>
      <w:marLeft w:val="0"/>
      <w:marRight w:val="0"/>
      <w:marTop w:val="0"/>
      <w:marBottom w:val="0"/>
      <w:divBdr>
        <w:top w:val="none" w:sz="0" w:space="0" w:color="auto"/>
        <w:left w:val="none" w:sz="0" w:space="0" w:color="auto"/>
        <w:bottom w:val="none" w:sz="0" w:space="0" w:color="auto"/>
        <w:right w:val="none" w:sz="0" w:space="0" w:color="auto"/>
      </w:divBdr>
    </w:div>
    <w:div w:id="1420179846">
      <w:bodyDiv w:val="1"/>
      <w:marLeft w:val="0"/>
      <w:marRight w:val="0"/>
      <w:marTop w:val="0"/>
      <w:marBottom w:val="0"/>
      <w:divBdr>
        <w:top w:val="none" w:sz="0" w:space="0" w:color="auto"/>
        <w:left w:val="none" w:sz="0" w:space="0" w:color="auto"/>
        <w:bottom w:val="none" w:sz="0" w:space="0" w:color="auto"/>
        <w:right w:val="none" w:sz="0" w:space="0" w:color="auto"/>
      </w:divBdr>
    </w:div>
    <w:div w:id="1425154153">
      <w:bodyDiv w:val="1"/>
      <w:marLeft w:val="0"/>
      <w:marRight w:val="0"/>
      <w:marTop w:val="0"/>
      <w:marBottom w:val="0"/>
      <w:divBdr>
        <w:top w:val="none" w:sz="0" w:space="0" w:color="auto"/>
        <w:left w:val="none" w:sz="0" w:space="0" w:color="auto"/>
        <w:bottom w:val="none" w:sz="0" w:space="0" w:color="auto"/>
        <w:right w:val="none" w:sz="0" w:space="0" w:color="auto"/>
      </w:divBdr>
    </w:div>
    <w:div w:id="1483694350">
      <w:bodyDiv w:val="1"/>
      <w:marLeft w:val="0"/>
      <w:marRight w:val="0"/>
      <w:marTop w:val="0"/>
      <w:marBottom w:val="0"/>
      <w:divBdr>
        <w:top w:val="none" w:sz="0" w:space="0" w:color="auto"/>
        <w:left w:val="none" w:sz="0" w:space="0" w:color="auto"/>
        <w:bottom w:val="none" w:sz="0" w:space="0" w:color="auto"/>
        <w:right w:val="none" w:sz="0" w:space="0" w:color="auto"/>
      </w:divBdr>
    </w:div>
    <w:div w:id="1556968715">
      <w:bodyDiv w:val="1"/>
      <w:marLeft w:val="0"/>
      <w:marRight w:val="0"/>
      <w:marTop w:val="0"/>
      <w:marBottom w:val="0"/>
      <w:divBdr>
        <w:top w:val="none" w:sz="0" w:space="0" w:color="auto"/>
        <w:left w:val="none" w:sz="0" w:space="0" w:color="auto"/>
        <w:bottom w:val="none" w:sz="0" w:space="0" w:color="auto"/>
        <w:right w:val="none" w:sz="0" w:space="0" w:color="auto"/>
      </w:divBdr>
    </w:div>
    <w:div w:id="1567717559">
      <w:bodyDiv w:val="1"/>
      <w:marLeft w:val="0"/>
      <w:marRight w:val="0"/>
      <w:marTop w:val="0"/>
      <w:marBottom w:val="0"/>
      <w:divBdr>
        <w:top w:val="none" w:sz="0" w:space="0" w:color="auto"/>
        <w:left w:val="none" w:sz="0" w:space="0" w:color="auto"/>
        <w:bottom w:val="none" w:sz="0" w:space="0" w:color="auto"/>
        <w:right w:val="none" w:sz="0" w:space="0" w:color="auto"/>
      </w:divBdr>
    </w:div>
    <w:div w:id="1600135504">
      <w:bodyDiv w:val="1"/>
      <w:marLeft w:val="0"/>
      <w:marRight w:val="0"/>
      <w:marTop w:val="0"/>
      <w:marBottom w:val="0"/>
      <w:divBdr>
        <w:top w:val="none" w:sz="0" w:space="0" w:color="auto"/>
        <w:left w:val="none" w:sz="0" w:space="0" w:color="auto"/>
        <w:bottom w:val="none" w:sz="0" w:space="0" w:color="auto"/>
        <w:right w:val="none" w:sz="0" w:space="0" w:color="auto"/>
      </w:divBdr>
    </w:div>
    <w:div w:id="1656495778">
      <w:bodyDiv w:val="1"/>
      <w:marLeft w:val="0"/>
      <w:marRight w:val="0"/>
      <w:marTop w:val="0"/>
      <w:marBottom w:val="0"/>
      <w:divBdr>
        <w:top w:val="none" w:sz="0" w:space="0" w:color="auto"/>
        <w:left w:val="none" w:sz="0" w:space="0" w:color="auto"/>
        <w:bottom w:val="none" w:sz="0" w:space="0" w:color="auto"/>
        <w:right w:val="none" w:sz="0" w:space="0" w:color="auto"/>
      </w:divBdr>
    </w:div>
    <w:div w:id="1714036281">
      <w:bodyDiv w:val="1"/>
      <w:marLeft w:val="0"/>
      <w:marRight w:val="0"/>
      <w:marTop w:val="0"/>
      <w:marBottom w:val="0"/>
      <w:divBdr>
        <w:top w:val="none" w:sz="0" w:space="0" w:color="auto"/>
        <w:left w:val="none" w:sz="0" w:space="0" w:color="auto"/>
        <w:bottom w:val="none" w:sz="0" w:space="0" w:color="auto"/>
        <w:right w:val="none" w:sz="0" w:space="0" w:color="auto"/>
      </w:divBdr>
    </w:div>
    <w:div w:id="1742826924">
      <w:bodyDiv w:val="1"/>
      <w:marLeft w:val="0"/>
      <w:marRight w:val="0"/>
      <w:marTop w:val="0"/>
      <w:marBottom w:val="0"/>
      <w:divBdr>
        <w:top w:val="none" w:sz="0" w:space="0" w:color="auto"/>
        <w:left w:val="none" w:sz="0" w:space="0" w:color="auto"/>
        <w:bottom w:val="none" w:sz="0" w:space="0" w:color="auto"/>
        <w:right w:val="none" w:sz="0" w:space="0" w:color="auto"/>
      </w:divBdr>
    </w:div>
    <w:div w:id="1773554579">
      <w:bodyDiv w:val="1"/>
      <w:marLeft w:val="0"/>
      <w:marRight w:val="0"/>
      <w:marTop w:val="0"/>
      <w:marBottom w:val="0"/>
      <w:divBdr>
        <w:top w:val="none" w:sz="0" w:space="0" w:color="auto"/>
        <w:left w:val="none" w:sz="0" w:space="0" w:color="auto"/>
        <w:bottom w:val="none" w:sz="0" w:space="0" w:color="auto"/>
        <w:right w:val="none" w:sz="0" w:space="0" w:color="auto"/>
      </w:divBdr>
    </w:div>
    <w:div w:id="1864054733">
      <w:bodyDiv w:val="1"/>
      <w:marLeft w:val="0"/>
      <w:marRight w:val="0"/>
      <w:marTop w:val="0"/>
      <w:marBottom w:val="0"/>
      <w:divBdr>
        <w:top w:val="none" w:sz="0" w:space="0" w:color="auto"/>
        <w:left w:val="none" w:sz="0" w:space="0" w:color="auto"/>
        <w:bottom w:val="none" w:sz="0" w:space="0" w:color="auto"/>
        <w:right w:val="none" w:sz="0" w:space="0" w:color="auto"/>
      </w:divBdr>
    </w:div>
    <w:div w:id="1934897605">
      <w:bodyDiv w:val="1"/>
      <w:marLeft w:val="0"/>
      <w:marRight w:val="0"/>
      <w:marTop w:val="0"/>
      <w:marBottom w:val="0"/>
      <w:divBdr>
        <w:top w:val="none" w:sz="0" w:space="0" w:color="auto"/>
        <w:left w:val="none" w:sz="0" w:space="0" w:color="auto"/>
        <w:bottom w:val="none" w:sz="0" w:space="0" w:color="auto"/>
        <w:right w:val="none" w:sz="0" w:space="0" w:color="auto"/>
      </w:divBdr>
    </w:div>
    <w:div w:id="1935550833">
      <w:bodyDiv w:val="1"/>
      <w:marLeft w:val="0"/>
      <w:marRight w:val="0"/>
      <w:marTop w:val="0"/>
      <w:marBottom w:val="0"/>
      <w:divBdr>
        <w:top w:val="none" w:sz="0" w:space="0" w:color="auto"/>
        <w:left w:val="none" w:sz="0" w:space="0" w:color="auto"/>
        <w:bottom w:val="none" w:sz="0" w:space="0" w:color="auto"/>
        <w:right w:val="none" w:sz="0" w:space="0" w:color="auto"/>
      </w:divBdr>
    </w:div>
    <w:div w:id="2010325618">
      <w:bodyDiv w:val="1"/>
      <w:marLeft w:val="0"/>
      <w:marRight w:val="0"/>
      <w:marTop w:val="0"/>
      <w:marBottom w:val="0"/>
      <w:divBdr>
        <w:top w:val="none" w:sz="0" w:space="0" w:color="auto"/>
        <w:left w:val="none" w:sz="0" w:space="0" w:color="auto"/>
        <w:bottom w:val="none" w:sz="0" w:space="0" w:color="auto"/>
        <w:right w:val="none" w:sz="0" w:space="0" w:color="auto"/>
      </w:divBdr>
    </w:div>
    <w:div w:id="2012944512">
      <w:bodyDiv w:val="1"/>
      <w:marLeft w:val="0"/>
      <w:marRight w:val="0"/>
      <w:marTop w:val="0"/>
      <w:marBottom w:val="0"/>
      <w:divBdr>
        <w:top w:val="none" w:sz="0" w:space="0" w:color="auto"/>
        <w:left w:val="none" w:sz="0" w:space="0" w:color="auto"/>
        <w:bottom w:val="none" w:sz="0" w:space="0" w:color="auto"/>
        <w:right w:val="none" w:sz="0" w:space="0" w:color="auto"/>
      </w:divBdr>
    </w:div>
    <w:div w:id="2083680159">
      <w:bodyDiv w:val="1"/>
      <w:marLeft w:val="0"/>
      <w:marRight w:val="0"/>
      <w:marTop w:val="0"/>
      <w:marBottom w:val="0"/>
      <w:divBdr>
        <w:top w:val="none" w:sz="0" w:space="0" w:color="auto"/>
        <w:left w:val="none" w:sz="0" w:space="0" w:color="auto"/>
        <w:bottom w:val="none" w:sz="0" w:space="0" w:color="auto"/>
        <w:right w:val="none" w:sz="0" w:space="0" w:color="auto"/>
      </w:divBdr>
    </w:div>
    <w:div w:id="209705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CCECF-DCE5-4CA5-A400-D094D723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5878</Words>
  <Characters>31158</Characters>
  <Application>Microsoft Office Word</Application>
  <DocSecurity>0</DocSecurity>
  <Lines>259</Lines>
  <Paragraphs>73</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
      <vt:lpstr/>
      <vt:lpstr/>
    </vt:vector>
  </TitlesOfParts>
  <Company>Helse Sør-Øst RHF</Company>
  <LinksUpToDate>false</LinksUpToDate>
  <CharactersWithSpaces>36963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 Magnus Fredheim</dc:creator>
  <cp:lastModifiedBy>Olav Magnus Fredheim</cp:lastModifiedBy>
  <cp:revision>11</cp:revision>
  <cp:lastPrinted>2019-08-12T23:17:00Z</cp:lastPrinted>
  <dcterms:created xsi:type="dcterms:W3CDTF">2019-11-05T12:06:00Z</dcterms:created>
  <dcterms:modified xsi:type="dcterms:W3CDTF">2019-12-20T13:44:00Z</dcterms:modified>
</cp:coreProperties>
</file>