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92" w:rsidRPr="00301892" w:rsidRDefault="00301892" w:rsidP="003018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301892">
        <w:rPr>
          <w:rFonts w:ascii="Calibri" w:hAnsi="Calibri" w:cs="Calibri"/>
          <w:b/>
          <w:bCs/>
          <w:color w:val="000000"/>
          <w:sz w:val="36"/>
          <w:szCs w:val="36"/>
        </w:rPr>
        <w:t xml:space="preserve">Addressing the fragmentation of global health: the </w:t>
      </w:r>
      <w:r w:rsidRPr="00301892"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Lancet</w:t>
      </w:r>
      <w:r w:rsidRPr="00301892"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 xml:space="preserve"> </w:t>
      </w:r>
      <w:r w:rsidRPr="00301892">
        <w:rPr>
          <w:rFonts w:ascii="Calibri" w:hAnsi="Calibri" w:cs="Calibri"/>
          <w:b/>
          <w:bCs/>
          <w:color w:val="000000"/>
          <w:sz w:val="36"/>
          <w:szCs w:val="36"/>
        </w:rPr>
        <w:t>Commission on synergies between universal health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Pr="00301892">
        <w:rPr>
          <w:rFonts w:ascii="Calibri" w:hAnsi="Calibri" w:cs="Calibri"/>
          <w:b/>
          <w:bCs/>
          <w:color w:val="000000"/>
          <w:sz w:val="36"/>
          <w:szCs w:val="36"/>
        </w:rPr>
        <w:t>coverage, health security, and health promotion</w:t>
      </w:r>
    </w:p>
    <w:p w:rsidR="00301892" w:rsidRDefault="00301892" w:rsidP="003018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74187" w:rsidRPr="00574187" w:rsidRDefault="00574187" w:rsidP="00574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iCs/>
          <w:lang w:val="nl-BE"/>
        </w:rPr>
      </w:pPr>
      <w:r w:rsidRPr="00574187">
        <w:rPr>
          <w:rFonts w:ascii="Calibri" w:hAnsi="Calibri" w:cs="Calibri"/>
          <w:b/>
          <w:i/>
          <w:iCs/>
          <w:lang w:val="nl-BE"/>
        </w:rPr>
        <w:t>Gorik Ooms, Trygve Ottersen, Albrecht Jahn,</w:t>
      </w:r>
      <w:r w:rsidRPr="00574187">
        <w:rPr>
          <w:rFonts w:ascii="Calibri" w:hAnsi="Calibri" w:cs="Calibri"/>
          <w:b/>
          <w:i/>
          <w:iCs/>
          <w:lang w:val="nl-BE"/>
        </w:rPr>
        <w:t xml:space="preserve"> </w:t>
      </w:r>
      <w:r w:rsidRPr="00574187">
        <w:rPr>
          <w:rFonts w:ascii="Calibri" w:hAnsi="Calibri" w:cs="Calibri"/>
          <w:b/>
          <w:i/>
          <w:iCs/>
          <w:lang w:val="nl-BE"/>
        </w:rPr>
        <w:t>Irene Akua Agyepong</w:t>
      </w:r>
    </w:p>
    <w:p w:rsidR="00574187" w:rsidRPr="00574187" w:rsidRDefault="00574187" w:rsidP="00574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7"/>
          <w:szCs w:val="17"/>
        </w:rPr>
      </w:pPr>
      <w:r w:rsidRPr="00574187">
        <w:rPr>
          <w:rFonts w:ascii="Calibri" w:hAnsi="Calibri" w:cs="Calibri"/>
          <w:sz w:val="17"/>
          <w:szCs w:val="17"/>
        </w:rPr>
        <w:t>Department of Global Health and Development, London School of</w:t>
      </w:r>
      <w:r w:rsidRPr="00574187">
        <w:rPr>
          <w:rFonts w:ascii="Calibri" w:hAnsi="Calibri" w:cs="Calibri"/>
          <w:sz w:val="17"/>
          <w:szCs w:val="17"/>
        </w:rPr>
        <w:t xml:space="preserve"> </w:t>
      </w:r>
      <w:r w:rsidRPr="00574187">
        <w:rPr>
          <w:rFonts w:ascii="Calibri" w:hAnsi="Calibri" w:cs="Calibri"/>
          <w:sz w:val="17"/>
          <w:szCs w:val="17"/>
        </w:rPr>
        <w:t>Hygiene &amp; Tropical Medicine, London WC1H 9SH, UK (GO); Division</w:t>
      </w:r>
      <w:r w:rsidRPr="00574187">
        <w:rPr>
          <w:rFonts w:ascii="Calibri" w:hAnsi="Calibri" w:cs="Calibri"/>
          <w:sz w:val="17"/>
          <w:szCs w:val="17"/>
        </w:rPr>
        <w:t xml:space="preserve"> </w:t>
      </w:r>
      <w:r w:rsidRPr="00574187">
        <w:rPr>
          <w:rFonts w:ascii="Calibri" w:hAnsi="Calibri" w:cs="Calibri"/>
          <w:sz w:val="17"/>
          <w:szCs w:val="17"/>
        </w:rPr>
        <w:t>for Health Services, Norwegian Institute of Public Health, Oslo,</w:t>
      </w:r>
      <w:r w:rsidRPr="00574187">
        <w:rPr>
          <w:rFonts w:ascii="Calibri" w:hAnsi="Calibri" w:cs="Calibri"/>
          <w:sz w:val="17"/>
          <w:szCs w:val="17"/>
        </w:rPr>
        <w:t xml:space="preserve"> </w:t>
      </w:r>
      <w:r w:rsidRPr="00574187">
        <w:rPr>
          <w:rFonts w:ascii="Calibri" w:hAnsi="Calibri" w:cs="Calibri"/>
          <w:sz w:val="17"/>
          <w:szCs w:val="17"/>
        </w:rPr>
        <w:t>Norway (TO); Department of Community Medicine and Global</w:t>
      </w:r>
      <w:r w:rsidRPr="00574187">
        <w:rPr>
          <w:rFonts w:ascii="Calibri" w:hAnsi="Calibri" w:cs="Calibri"/>
          <w:sz w:val="17"/>
          <w:szCs w:val="17"/>
        </w:rPr>
        <w:t xml:space="preserve"> </w:t>
      </w:r>
      <w:r w:rsidRPr="00574187">
        <w:rPr>
          <w:rFonts w:ascii="Calibri" w:hAnsi="Calibri" w:cs="Calibri"/>
          <w:sz w:val="17"/>
          <w:szCs w:val="17"/>
        </w:rPr>
        <w:t>Health and Centre for Global Health, University of Oslo, Oslo,</w:t>
      </w:r>
      <w:r w:rsidRPr="00574187">
        <w:rPr>
          <w:rFonts w:ascii="Calibri" w:hAnsi="Calibri" w:cs="Calibri"/>
          <w:sz w:val="17"/>
          <w:szCs w:val="17"/>
        </w:rPr>
        <w:t xml:space="preserve"> </w:t>
      </w:r>
      <w:r w:rsidRPr="00574187">
        <w:rPr>
          <w:rFonts w:ascii="Calibri" w:hAnsi="Calibri" w:cs="Calibri"/>
          <w:sz w:val="17"/>
          <w:szCs w:val="17"/>
        </w:rPr>
        <w:t>Norway (TO); Heidelberg Institute of Global Health, University of</w:t>
      </w:r>
      <w:r w:rsidRPr="00574187">
        <w:rPr>
          <w:rFonts w:ascii="Calibri" w:hAnsi="Calibri" w:cs="Calibri"/>
          <w:sz w:val="17"/>
          <w:szCs w:val="17"/>
        </w:rPr>
        <w:t xml:space="preserve"> </w:t>
      </w:r>
      <w:r w:rsidRPr="00574187">
        <w:rPr>
          <w:rFonts w:ascii="Calibri" w:hAnsi="Calibri" w:cs="Calibri"/>
          <w:sz w:val="17"/>
          <w:szCs w:val="17"/>
        </w:rPr>
        <w:t xml:space="preserve">Heidelberg, Heidelberg, Germany (AJ); </w:t>
      </w:r>
      <w:proofErr w:type="spellStart"/>
      <w:r w:rsidRPr="00574187">
        <w:rPr>
          <w:rFonts w:ascii="Calibri" w:hAnsi="Calibri" w:cs="Calibri"/>
          <w:sz w:val="17"/>
          <w:szCs w:val="17"/>
        </w:rPr>
        <w:t>Dodowa</w:t>
      </w:r>
      <w:proofErr w:type="spellEnd"/>
      <w:r w:rsidRPr="00574187">
        <w:rPr>
          <w:rFonts w:ascii="Calibri" w:hAnsi="Calibri" w:cs="Calibri"/>
          <w:sz w:val="17"/>
          <w:szCs w:val="17"/>
        </w:rPr>
        <w:t xml:space="preserve"> Health Research</w:t>
      </w:r>
      <w:r w:rsidRPr="00574187">
        <w:rPr>
          <w:rFonts w:ascii="Calibri" w:hAnsi="Calibri" w:cs="Calibri"/>
          <w:sz w:val="17"/>
          <w:szCs w:val="17"/>
        </w:rPr>
        <w:t xml:space="preserve"> </w:t>
      </w:r>
      <w:r w:rsidRPr="00574187">
        <w:rPr>
          <w:rFonts w:ascii="Calibri" w:hAnsi="Calibri" w:cs="Calibri"/>
          <w:sz w:val="17"/>
          <w:szCs w:val="17"/>
        </w:rPr>
        <w:t>Center, Research and Development Division, Ghana Health Service,</w:t>
      </w:r>
      <w:r w:rsidRPr="00574187">
        <w:rPr>
          <w:rFonts w:ascii="Calibri" w:hAnsi="Calibri" w:cs="Calibri"/>
          <w:sz w:val="17"/>
          <w:szCs w:val="17"/>
        </w:rPr>
        <w:t xml:space="preserve"> </w:t>
      </w:r>
      <w:proofErr w:type="spellStart"/>
      <w:r w:rsidRPr="00574187">
        <w:rPr>
          <w:rFonts w:ascii="Calibri" w:hAnsi="Calibri" w:cs="Calibri"/>
          <w:sz w:val="17"/>
          <w:szCs w:val="17"/>
        </w:rPr>
        <w:t>Dodowa</w:t>
      </w:r>
      <w:proofErr w:type="spellEnd"/>
      <w:r w:rsidRPr="00574187">
        <w:rPr>
          <w:rFonts w:ascii="Calibri" w:hAnsi="Calibri" w:cs="Calibri"/>
          <w:sz w:val="17"/>
          <w:szCs w:val="17"/>
        </w:rPr>
        <w:t>, Ghana (IAA); and Public Health Faculty, Ghana College of</w:t>
      </w:r>
      <w:r w:rsidRPr="00574187">
        <w:rPr>
          <w:rFonts w:ascii="Calibri" w:hAnsi="Calibri" w:cs="Calibri"/>
          <w:sz w:val="17"/>
          <w:szCs w:val="17"/>
        </w:rPr>
        <w:t xml:space="preserve"> </w:t>
      </w:r>
      <w:r w:rsidRPr="00574187">
        <w:rPr>
          <w:rFonts w:ascii="Calibri" w:hAnsi="Calibri" w:cs="Calibri"/>
          <w:sz w:val="17"/>
          <w:szCs w:val="17"/>
        </w:rPr>
        <w:t>Physicians and Surgeons, Accra, Ghana (IAA)</w:t>
      </w:r>
    </w:p>
    <w:p w:rsidR="00574187" w:rsidRPr="00574187" w:rsidRDefault="00574187" w:rsidP="00574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hyperlink r:id="rId7" w:history="1">
        <w:r w:rsidRPr="00574187">
          <w:rPr>
            <w:rStyle w:val="Hyperlink"/>
            <w:rFonts w:ascii="Calibri" w:hAnsi="Calibri" w:cs="Calibri"/>
            <w:sz w:val="17"/>
            <w:szCs w:val="17"/>
          </w:rPr>
          <w:t>gorik.ooms@lshtm.ac.uk</w:t>
        </w:r>
      </w:hyperlink>
      <w:r w:rsidRPr="00574187">
        <w:rPr>
          <w:rFonts w:ascii="Calibri" w:hAnsi="Calibri" w:cs="Calibri"/>
          <w:sz w:val="17"/>
          <w:szCs w:val="17"/>
        </w:rPr>
        <w:t xml:space="preserve"> </w:t>
      </w:r>
    </w:p>
    <w:p w:rsidR="00574187" w:rsidRDefault="00574187" w:rsidP="003018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01892" w:rsidRPr="00301892" w:rsidRDefault="00301892" w:rsidP="003018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01892">
        <w:rPr>
          <w:rFonts w:ascii="Calibri" w:hAnsi="Calibri" w:cs="Calibri"/>
          <w:color w:val="000000"/>
        </w:rPr>
        <w:t>Global health is fragmented. Many stakeholders pursue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their own agenda while neglecting other important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goals for global health. Some global health actors,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for example, focus on strengthening health security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without attention to universal health coverage (UHC),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primary health care (PHC), and population-based health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promotion. Prevention is a key part of PHC and UHC,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but efforts to ensure PHC or make progress towards</w:t>
      </w:r>
      <w:r w:rsidR="00574187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UHC often do not include population-based prevention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efforts. Proponents often use broad definitions of their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agenda in declarations and statements, while applying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much narrower definitions in practice. If these tensions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are not addressed, fragmentation will continue to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make local, national, and global efforts inefficient and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opportunities will be lost in terms of lives saved and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quality of life.</w:t>
      </w:r>
    </w:p>
    <w:p w:rsidR="00301892" w:rsidRPr="00301892" w:rsidRDefault="00301892" w:rsidP="003018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01892" w:rsidRPr="00301892" w:rsidRDefault="00301892" w:rsidP="003018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01892">
        <w:rPr>
          <w:rFonts w:ascii="Calibri" w:hAnsi="Calibri" w:cs="Calibri"/>
          <w:color w:val="000000"/>
        </w:rPr>
        <w:t>The Sustainable Development Goals (SDGs) and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WHO’s general programme of work 2019–2023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(GPW)</w:t>
      </w:r>
      <w:r w:rsidR="00313739">
        <w:rPr>
          <w:rStyle w:val="EndnoteReference"/>
          <w:rFonts w:ascii="Calibri" w:hAnsi="Calibri" w:cs="Calibri"/>
          <w:color w:val="000000"/>
        </w:rPr>
        <w:endnoteReference w:id="1"/>
      </w:r>
      <w:r w:rsidRPr="00301892">
        <w:rPr>
          <w:rFonts w:ascii="Calibri" w:hAnsi="Calibri" w:cs="Calibri"/>
          <w:color w:val="000000"/>
        </w:rPr>
        <w:t xml:space="preserve"> come with unprecedented potential for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coherence. The broad SDGs highlight how the goals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and targets are intertwined.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With respect to health,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this interconnectedness is featured throughout SDG 3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and in other SDG goals. Similarly, WHO’s GPW shows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that the organisation’s efforts can be subsumed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under three strategic priorities: UHC (1 billion more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people benefiting from UHC), health emergencies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(1 billion more people better protected from health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emergencies), and healthier populations (1 billion more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 xml:space="preserve">people enjoying better health and wellbeing). </w:t>
      </w:r>
      <w:proofErr w:type="gramStart"/>
      <w:r w:rsidRPr="00301892">
        <w:rPr>
          <w:rFonts w:ascii="Calibri" w:hAnsi="Calibri" w:cs="Calibri"/>
          <w:color w:val="000000"/>
        </w:rPr>
        <w:t>WHO’s</w:t>
      </w:r>
      <w:proofErr w:type="gramEnd"/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GPW underscores the importance of pursuing these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priorities in an integrated way (figure).</w:t>
      </w:r>
    </w:p>
    <w:p w:rsidR="00301892" w:rsidRDefault="00301892" w:rsidP="003018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74187" w:rsidRPr="00301892" w:rsidRDefault="00574187" w:rsidP="00574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01892">
        <w:rPr>
          <w:rFonts w:ascii="Calibri" w:hAnsi="Calibri" w:cs="Calibri"/>
          <w:b/>
          <w:bCs/>
          <w:i/>
          <w:iCs/>
          <w:color w:val="000000"/>
        </w:rPr>
        <w:t xml:space="preserve">Figure: </w:t>
      </w:r>
      <w:r w:rsidRPr="00301892">
        <w:rPr>
          <w:rFonts w:ascii="Calibri" w:hAnsi="Calibri" w:cs="Calibri"/>
          <w:b/>
          <w:bCs/>
          <w:color w:val="000000"/>
        </w:rPr>
        <w:t xml:space="preserve">A set of interconnected strategic priorities and goals to ensure healthy lives and promote wellbeing for all at all ages from WHO’s general programme of work 2019–2023. </w:t>
      </w:r>
      <w:r w:rsidRPr="00301892">
        <w:rPr>
          <w:rFonts w:ascii="Calibri" w:hAnsi="Calibri" w:cs="Calibri"/>
          <w:color w:val="000000"/>
        </w:rPr>
        <w:t>Reprinted from WHO’s Thirteenth general</w:t>
      </w:r>
      <w:r w:rsidR="00037F7B">
        <w:rPr>
          <w:rFonts w:ascii="Calibri" w:hAnsi="Calibri" w:cs="Calibri"/>
          <w:color w:val="000000"/>
        </w:rPr>
        <w:t xml:space="preserve"> </w:t>
      </w:r>
      <w:bookmarkStart w:id="0" w:name="_GoBack"/>
      <w:bookmarkEnd w:id="0"/>
      <w:r w:rsidRPr="00301892">
        <w:rPr>
          <w:rFonts w:ascii="Calibri" w:hAnsi="Calibri" w:cs="Calibri"/>
          <w:color w:val="000000"/>
        </w:rPr>
        <w:t>programme of work, 2019–2023.</w:t>
      </w:r>
    </w:p>
    <w:p w:rsidR="00574187" w:rsidRDefault="00574187" w:rsidP="003018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74187" w:rsidRPr="00301892" w:rsidRDefault="00574187" w:rsidP="003018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en-GB"/>
        </w:rPr>
        <w:drawing>
          <wp:inline distT="0" distB="0" distL="0" distR="0">
            <wp:extent cx="3906000" cy="358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verlapping diagram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000" cy="35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187" w:rsidRDefault="00301892" w:rsidP="00574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01892">
        <w:rPr>
          <w:rFonts w:ascii="Calibri" w:hAnsi="Calibri" w:cs="Calibri"/>
          <w:color w:val="000000"/>
        </w:rPr>
        <w:t>However, some drivers of fragmentation between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these three priorities and corresponding agendas are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powerful. Path dependency is one. Some global health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institutions, initiatives, and programmes have narrow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 xml:space="preserve">mandates that </w:t>
      </w:r>
      <w:r w:rsidRPr="00301892">
        <w:rPr>
          <w:rFonts w:ascii="Calibri" w:hAnsi="Calibri" w:cs="Calibri"/>
          <w:color w:val="000000"/>
        </w:rPr>
        <w:lastRenderedPageBreak/>
        <w:t>are difficult to change—a challenge much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debated in the context of vertical health programmes.</w:t>
      </w:r>
      <w:r w:rsidR="00313739">
        <w:rPr>
          <w:rStyle w:val="EndnoteReference"/>
          <w:rFonts w:ascii="Calibri" w:hAnsi="Calibri" w:cs="Calibri"/>
          <w:color w:val="000000"/>
        </w:rPr>
        <w:endnoteReference w:id="2"/>
      </w:r>
      <w:r w:rsidRPr="00301892">
        <w:rPr>
          <w:rFonts w:ascii="Calibri" w:hAnsi="Calibri" w:cs="Calibri"/>
          <w:color w:val="000000"/>
        </w:rPr>
        <w:t xml:space="preserve">  </w:t>
      </w:r>
      <w:r w:rsidRPr="00301892">
        <w:rPr>
          <w:rFonts w:ascii="Calibri" w:hAnsi="Calibri" w:cs="Calibri"/>
          <w:color w:val="000000"/>
        </w:rPr>
        <w:t>Another driver of fragmentation is diverging national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interests, especially when countries claim that their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own interests come first. This driver of fragmentation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may intensify, and, as Macfarlane and colleagues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suggest, steer global health cooperation towards efforts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addressing “common vulnerabilities to the spread of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communicable diseases and to the spread of risk factors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for non-communicable diseases that necessitates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national and international strategies”, and away from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efforts tackling “huge inequalities in disease burden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between rich and poor countries and between rich and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poor people anywhere”.</w:t>
      </w:r>
      <w:r w:rsidR="00313739">
        <w:rPr>
          <w:rStyle w:val="EndnoteReference"/>
          <w:rFonts w:ascii="Calibri" w:hAnsi="Calibri" w:cs="Calibri"/>
          <w:color w:val="000000"/>
        </w:rPr>
        <w:endnoteReference w:id="3"/>
      </w:r>
      <w:r w:rsidRPr="00301892">
        <w:rPr>
          <w:rFonts w:ascii="Calibri" w:hAnsi="Calibri" w:cs="Calibri"/>
          <w:color w:val="000000"/>
        </w:rPr>
        <w:t xml:space="preserve"> Although the SDGs and WHO’s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GPW come with great potential for integration, they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could also give rise to further fragmentation. Given the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ambition of the wide-ranging SDGs, which are much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broader than the preceding Millennium Development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Goals, some actors might justify prioritising UHC with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reference to SDG 3.8, whereas others might prioritise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>health security with reference to SDG 3.d.</w:t>
      </w:r>
      <w:r w:rsidRPr="00301892">
        <w:rPr>
          <w:rFonts w:ascii="Calibri" w:hAnsi="Calibri" w:cs="Calibri"/>
          <w:color w:val="000000"/>
        </w:rPr>
        <w:t xml:space="preserve"> </w:t>
      </w:r>
      <w:r w:rsidRPr="00301892">
        <w:rPr>
          <w:rFonts w:ascii="Calibri" w:hAnsi="Calibri" w:cs="Calibri"/>
          <w:color w:val="000000"/>
        </w:rPr>
        <w:t xml:space="preserve">The </w:t>
      </w:r>
      <w:r w:rsidRPr="00301892">
        <w:rPr>
          <w:rFonts w:ascii="Calibri" w:hAnsi="Calibri" w:cs="Calibri"/>
          <w:i/>
          <w:iCs/>
          <w:color w:val="000000"/>
        </w:rPr>
        <w:t xml:space="preserve">Lancet </w:t>
      </w:r>
      <w:r w:rsidRPr="00301892">
        <w:rPr>
          <w:rFonts w:ascii="Calibri" w:hAnsi="Calibri" w:cs="Calibri"/>
          <w:color w:val="000000"/>
        </w:rPr>
        <w:t xml:space="preserve">Commission on synergies between </w:t>
      </w:r>
      <w:r w:rsidRPr="00574187">
        <w:rPr>
          <w:rFonts w:ascii="Calibri" w:hAnsi="Calibri" w:cs="Calibri"/>
          <w:color w:val="000000"/>
        </w:rPr>
        <w:t>UHC,</w:t>
      </w:r>
      <w:r w:rsidRPr="00574187">
        <w:rPr>
          <w:rFonts w:ascii="Calibri" w:hAnsi="Calibri" w:cs="Calibri"/>
          <w:color w:val="000000"/>
        </w:rPr>
        <w:t xml:space="preserve"> </w:t>
      </w:r>
      <w:r w:rsidRPr="00574187">
        <w:rPr>
          <w:rFonts w:ascii="Calibri" w:hAnsi="Calibri" w:cs="Calibri"/>
          <w:color w:val="000000"/>
        </w:rPr>
        <w:t>health security, and health promotion aims to overcome</w:t>
      </w:r>
      <w:r w:rsidRPr="00574187">
        <w:rPr>
          <w:rFonts w:ascii="Calibri" w:hAnsi="Calibri" w:cs="Calibri"/>
          <w:color w:val="000000"/>
        </w:rPr>
        <w:t xml:space="preserve"> </w:t>
      </w:r>
      <w:r w:rsidRPr="00574187">
        <w:rPr>
          <w:rFonts w:ascii="Calibri" w:hAnsi="Calibri" w:cs="Calibri"/>
          <w:color w:val="000000"/>
        </w:rPr>
        <w:t>fragmentation and realise the potential for coherence</w:t>
      </w:r>
      <w:r w:rsidRPr="00574187">
        <w:rPr>
          <w:rFonts w:ascii="Calibri" w:hAnsi="Calibri" w:cs="Calibri"/>
          <w:color w:val="000000"/>
        </w:rPr>
        <w:t xml:space="preserve"> </w:t>
      </w:r>
      <w:r w:rsidRPr="00574187">
        <w:rPr>
          <w:rFonts w:ascii="Calibri" w:hAnsi="Calibri" w:cs="Calibri"/>
          <w:color w:val="000000"/>
        </w:rPr>
        <w:t>in global health. The Commission will systematically</w:t>
      </w:r>
      <w:r w:rsidRPr="00574187">
        <w:rPr>
          <w:rFonts w:ascii="Calibri" w:hAnsi="Calibri" w:cs="Calibri"/>
          <w:color w:val="000000"/>
        </w:rPr>
        <w:t xml:space="preserve"> </w:t>
      </w:r>
      <w:r w:rsidRPr="00574187">
        <w:rPr>
          <w:rFonts w:ascii="Calibri" w:hAnsi="Calibri" w:cs="Calibri"/>
          <w:color w:val="000000"/>
        </w:rPr>
        <w:t>examine intersections between these leading agendas</w:t>
      </w:r>
      <w:r w:rsidRPr="00574187">
        <w:rPr>
          <w:rFonts w:ascii="Calibri" w:hAnsi="Calibri" w:cs="Calibri"/>
          <w:color w:val="000000"/>
        </w:rPr>
        <w:t xml:space="preserve"> </w:t>
      </w:r>
      <w:r w:rsidRPr="00574187">
        <w:rPr>
          <w:rFonts w:ascii="Calibri" w:hAnsi="Calibri" w:cs="Calibri"/>
          <w:color w:val="000000"/>
        </w:rPr>
        <w:t>in global health. Inspired by WHO’s Maximizing Positive</w:t>
      </w:r>
      <w:r w:rsidRPr="00574187">
        <w:rPr>
          <w:rFonts w:ascii="Calibri" w:hAnsi="Calibri" w:cs="Calibri"/>
          <w:color w:val="000000"/>
        </w:rPr>
        <w:t xml:space="preserve"> </w:t>
      </w:r>
      <w:r w:rsidRPr="00574187">
        <w:rPr>
          <w:rFonts w:ascii="Calibri" w:hAnsi="Calibri" w:cs="Calibri"/>
          <w:color w:val="000000"/>
        </w:rPr>
        <w:t>Synergies initiative,</w:t>
      </w:r>
      <w:r w:rsidR="00313739">
        <w:rPr>
          <w:rStyle w:val="EndnoteReference"/>
          <w:rFonts w:ascii="Calibri" w:hAnsi="Calibri" w:cs="Calibri"/>
          <w:color w:val="000000"/>
        </w:rPr>
        <w:endnoteReference w:id="4"/>
      </w:r>
      <w:r w:rsidRPr="00574187">
        <w:rPr>
          <w:rFonts w:ascii="Calibri" w:hAnsi="Calibri" w:cs="Calibri"/>
          <w:color w:val="000000"/>
        </w:rPr>
        <w:t xml:space="preserve"> the Commission will find synergies</w:t>
      </w:r>
      <w:r w:rsidR="00574187" w:rsidRPr="00574187">
        <w:rPr>
          <w:rFonts w:ascii="Calibri" w:hAnsi="Calibri" w:cs="Calibri"/>
          <w:color w:val="000000"/>
        </w:rPr>
        <w:t xml:space="preserve"> </w:t>
      </w:r>
      <w:r w:rsidR="00574187" w:rsidRPr="00574187">
        <w:rPr>
          <w:rFonts w:ascii="Calibri" w:hAnsi="Calibri" w:cs="Calibri"/>
        </w:rPr>
        <w:t>between the three agendas. The Commission will</w:t>
      </w:r>
      <w:r w:rsidR="00574187">
        <w:rPr>
          <w:rFonts w:ascii="Calibri" w:hAnsi="Calibri" w:cs="Calibri"/>
        </w:rPr>
        <w:t xml:space="preserve"> </w:t>
      </w:r>
      <w:r w:rsidR="00574187" w:rsidRPr="00574187">
        <w:rPr>
          <w:rFonts w:ascii="Calibri" w:hAnsi="Calibri" w:cs="Calibri"/>
        </w:rPr>
        <w:t>identify a set of key policies, institutional capacities,</w:t>
      </w:r>
      <w:r w:rsidR="00574187">
        <w:rPr>
          <w:rFonts w:ascii="Calibri" w:hAnsi="Calibri" w:cs="Calibri"/>
        </w:rPr>
        <w:t xml:space="preserve"> </w:t>
      </w:r>
      <w:r w:rsidR="00574187" w:rsidRPr="00574187">
        <w:rPr>
          <w:rFonts w:ascii="Calibri" w:hAnsi="Calibri" w:cs="Calibri"/>
        </w:rPr>
        <w:t>decision-support systems, and interventions that</w:t>
      </w:r>
      <w:r w:rsidR="00574187">
        <w:rPr>
          <w:rFonts w:ascii="Calibri" w:hAnsi="Calibri" w:cs="Calibri"/>
        </w:rPr>
        <w:t xml:space="preserve"> </w:t>
      </w:r>
      <w:r w:rsidR="00574187" w:rsidRPr="00574187">
        <w:rPr>
          <w:rFonts w:ascii="Calibri" w:hAnsi="Calibri" w:cs="Calibri"/>
        </w:rPr>
        <w:t>each contributes across the three agendas and makes</w:t>
      </w:r>
      <w:r w:rsidR="00574187">
        <w:rPr>
          <w:rFonts w:ascii="Calibri" w:hAnsi="Calibri" w:cs="Calibri"/>
        </w:rPr>
        <w:t xml:space="preserve"> </w:t>
      </w:r>
      <w:r w:rsidR="00574187" w:rsidRPr="00574187">
        <w:rPr>
          <w:rFonts w:ascii="Calibri" w:hAnsi="Calibri" w:cs="Calibri"/>
        </w:rPr>
        <w:t>progress in one area amplify progress in the others. The</w:t>
      </w:r>
      <w:r w:rsidR="00574187">
        <w:rPr>
          <w:rFonts w:ascii="Calibri" w:hAnsi="Calibri" w:cs="Calibri"/>
        </w:rPr>
        <w:t xml:space="preserve"> </w:t>
      </w:r>
      <w:r w:rsidR="00574187" w:rsidRPr="00574187">
        <w:rPr>
          <w:rFonts w:ascii="Calibri" w:hAnsi="Calibri" w:cs="Calibri"/>
        </w:rPr>
        <w:t>findings will help the many and diverse stakeholders in</w:t>
      </w:r>
      <w:r w:rsidR="00574187">
        <w:rPr>
          <w:rFonts w:ascii="Calibri" w:hAnsi="Calibri" w:cs="Calibri"/>
        </w:rPr>
        <w:t xml:space="preserve"> </w:t>
      </w:r>
      <w:r w:rsidR="00574187" w:rsidRPr="00574187">
        <w:rPr>
          <w:rFonts w:ascii="Calibri" w:hAnsi="Calibri" w:cs="Calibri"/>
        </w:rPr>
        <w:t>global health better align their efforts, cooperate more</w:t>
      </w:r>
      <w:r w:rsidR="00574187">
        <w:rPr>
          <w:rFonts w:ascii="Calibri" w:hAnsi="Calibri" w:cs="Calibri"/>
        </w:rPr>
        <w:t xml:space="preserve"> </w:t>
      </w:r>
      <w:r w:rsidR="00574187" w:rsidRPr="00574187">
        <w:rPr>
          <w:rFonts w:ascii="Calibri" w:hAnsi="Calibri" w:cs="Calibri"/>
        </w:rPr>
        <w:t>efficiently, and save and improve more lives</w:t>
      </w:r>
      <w:r w:rsidR="00574187">
        <w:rPr>
          <w:rFonts w:ascii="Calibri" w:hAnsi="Calibri" w:cs="Calibri"/>
        </w:rPr>
        <w:t>.</w:t>
      </w:r>
    </w:p>
    <w:p w:rsidR="00574187" w:rsidRDefault="00574187" w:rsidP="00574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74187" w:rsidRDefault="00574187" w:rsidP="00574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74187">
        <w:rPr>
          <w:rFonts w:ascii="Calibri" w:hAnsi="Calibri" w:cs="Calibri"/>
        </w:rPr>
        <w:t>The synergies Commission will be co-chaired by</w:t>
      </w:r>
      <w:r>
        <w:rPr>
          <w:rFonts w:ascii="Calibri" w:hAnsi="Calibri" w:cs="Calibri"/>
        </w:rPr>
        <w:t xml:space="preserve"> </w:t>
      </w:r>
      <w:r w:rsidRPr="00574187">
        <w:rPr>
          <w:rFonts w:ascii="Calibri" w:hAnsi="Calibri" w:cs="Calibri"/>
        </w:rPr>
        <w:t xml:space="preserve">Irene </w:t>
      </w:r>
      <w:proofErr w:type="spellStart"/>
      <w:r w:rsidRPr="00574187">
        <w:rPr>
          <w:rFonts w:ascii="Calibri" w:hAnsi="Calibri" w:cs="Calibri"/>
        </w:rPr>
        <w:t>Akua</w:t>
      </w:r>
      <w:proofErr w:type="spellEnd"/>
      <w:r w:rsidRPr="00574187">
        <w:rPr>
          <w:rFonts w:ascii="Calibri" w:hAnsi="Calibri" w:cs="Calibri"/>
        </w:rPr>
        <w:t xml:space="preserve"> Agyepong and Gorik Ooms and hosted by</w:t>
      </w:r>
      <w:r>
        <w:rPr>
          <w:rFonts w:ascii="Calibri" w:hAnsi="Calibri" w:cs="Calibri"/>
        </w:rPr>
        <w:t xml:space="preserve"> </w:t>
      </w:r>
      <w:r w:rsidRPr="00574187">
        <w:rPr>
          <w:rFonts w:ascii="Calibri" w:hAnsi="Calibri" w:cs="Calibri"/>
        </w:rPr>
        <w:t>the London School of Hygiene &amp; Tropical Medicine,</w:t>
      </w:r>
      <w:r>
        <w:rPr>
          <w:rFonts w:ascii="Calibri" w:hAnsi="Calibri" w:cs="Calibri"/>
        </w:rPr>
        <w:t xml:space="preserve"> </w:t>
      </w:r>
      <w:r w:rsidRPr="00574187">
        <w:rPr>
          <w:rFonts w:ascii="Calibri" w:hAnsi="Calibri" w:cs="Calibri"/>
        </w:rPr>
        <w:t>the Norwegian Institute of Public Health, and the</w:t>
      </w:r>
      <w:r>
        <w:rPr>
          <w:rFonts w:ascii="Calibri" w:hAnsi="Calibri" w:cs="Calibri"/>
        </w:rPr>
        <w:t xml:space="preserve"> </w:t>
      </w:r>
      <w:r w:rsidRPr="00574187">
        <w:rPr>
          <w:rFonts w:ascii="Calibri" w:hAnsi="Calibri" w:cs="Calibri"/>
        </w:rPr>
        <w:t>Heidelberg Institute of Global Health. It will bring</w:t>
      </w:r>
      <w:r>
        <w:rPr>
          <w:rFonts w:ascii="Calibri" w:hAnsi="Calibri" w:cs="Calibri"/>
        </w:rPr>
        <w:t xml:space="preserve"> </w:t>
      </w:r>
      <w:r w:rsidRPr="00574187">
        <w:rPr>
          <w:rFonts w:ascii="Calibri" w:hAnsi="Calibri" w:cs="Calibri"/>
        </w:rPr>
        <w:t>together 24 scholars from 20 countries who have</w:t>
      </w:r>
      <w:r>
        <w:rPr>
          <w:rFonts w:ascii="Calibri" w:hAnsi="Calibri" w:cs="Calibri"/>
        </w:rPr>
        <w:t xml:space="preserve"> </w:t>
      </w:r>
      <w:r w:rsidRPr="00574187">
        <w:rPr>
          <w:rFonts w:ascii="Calibri" w:hAnsi="Calibri" w:cs="Calibri"/>
        </w:rPr>
        <w:t>expertise cutting across the three agendas (appendix).</w:t>
      </w:r>
      <w:r>
        <w:rPr>
          <w:rFonts w:ascii="Calibri" w:hAnsi="Calibri" w:cs="Calibri"/>
        </w:rPr>
        <w:t xml:space="preserve"> </w:t>
      </w:r>
      <w:r w:rsidRPr="00574187">
        <w:rPr>
          <w:rFonts w:ascii="Calibri" w:hAnsi="Calibri" w:cs="Calibri"/>
        </w:rPr>
        <w:t>Additionally, 19 policy makers, or scholars working</w:t>
      </w:r>
      <w:r>
        <w:rPr>
          <w:rFonts w:ascii="Calibri" w:hAnsi="Calibri" w:cs="Calibri"/>
        </w:rPr>
        <w:t xml:space="preserve"> </w:t>
      </w:r>
      <w:r w:rsidRPr="00574187">
        <w:rPr>
          <w:rFonts w:ascii="Calibri" w:hAnsi="Calibri" w:cs="Calibri"/>
        </w:rPr>
        <w:t>closely with policy makers, will comprise an advisory</w:t>
      </w:r>
      <w:r>
        <w:rPr>
          <w:rFonts w:ascii="Calibri" w:hAnsi="Calibri" w:cs="Calibri"/>
        </w:rPr>
        <w:t xml:space="preserve"> </w:t>
      </w:r>
      <w:r w:rsidRPr="00574187">
        <w:rPr>
          <w:rFonts w:ascii="Calibri" w:hAnsi="Calibri" w:cs="Calibri"/>
        </w:rPr>
        <w:t>board. The synergies Commission has its first meeting in</w:t>
      </w:r>
      <w:r>
        <w:rPr>
          <w:rFonts w:ascii="Calibri" w:hAnsi="Calibri" w:cs="Calibri"/>
        </w:rPr>
        <w:t xml:space="preserve"> </w:t>
      </w:r>
      <w:r w:rsidRPr="00574187">
        <w:rPr>
          <w:rFonts w:ascii="Calibri" w:hAnsi="Calibri" w:cs="Calibri"/>
        </w:rPr>
        <w:t>London, UK, on Sept 10–12, 2018, and aims to publish</w:t>
      </w:r>
      <w:r>
        <w:rPr>
          <w:rFonts w:ascii="Calibri" w:hAnsi="Calibri" w:cs="Calibri"/>
        </w:rPr>
        <w:t xml:space="preserve"> </w:t>
      </w:r>
      <w:r w:rsidRPr="00574187">
        <w:rPr>
          <w:rFonts w:ascii="Calibri" w:hAnsi="Calibri" w:cs="Calibri"/>
        </w:rPr>
        <w:t>its final report in 2020.</w:t>
      </w:r>
      <w:r>
        <w:rPr>
          <w:rFonts w:ascii="Calibri" w:hAnsi="Calibri" w:cs="Calibri"/>
        </w:rPr>
        <w:t xml:space="preserve"> </w:t>
      </w:r>
    </w:p>
    <w:p w:rsidR="00574187" w:rsidRDefault="00574187" w:rsidP="00574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1892" w:rsidRPr="00574187" w:rsidRDefault="00574187" w:rsidP="005741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74187">
        <w:rPr>
          <w:rFonts w:ascii="Calibri" w:hAnsi="Calibri" w:cs="Calibri"/>
        </w:rPr>
        <w:t>The Commission’s report will offer actionable recommendations</w:t>
      </w:r>
      <w:r>
        <w:rPr>
          <w:rFonts w:ascii="Calibri" w:hAnsi="Calibri" w:cs="Calibri"/>
        </w:rPr>
        <w:t xml:space="preserve"> </w:t>
      </w:r>
      <w:r w:rsidRPr="00574187">
        <w:rPr>
          <w:rFonts w:ascii="Calibri" w:hAnsi="Calibri" w:cs="Calibri"/>
        </w:rPr>
        <w:t>for multiple actors in global health. These</w:t>
      </w:r>
      <w:r>
        <w:rPr>
          <w:rFonts w:ascii="Calibri" w:hAnsi="Calibri" w:cs="Calibri"/>
        </w:rPr>
        <w:t xml:space="preserve"> </w:t>
      </w:r>
      <w:r w:rsidRPr="00574187">
        <w:rPr>
          <w:rFonts w:ascii="Calibri" w:hAnsi="Calibri" w:cs="Calibri"/>
        </w:rPr>
        <w:t>recommendations should help ensure that investments</w:t>
      </w:r>
      <w:r>
        <w:rPr>
          <w:rFonts w:ascii="Calibri" w:hAnsi="Calibri" w:cs="Calibri"/>
        </w:rPr>
        <w:t xml:space="preserve"> </w:t>
      </w:r>
      <w:r w:rsidRPr="00574187">
        <w:rPr>
          <w:rFonts w:ascii="Calibri" w:hAnsi="Calibri" w:cs="Calibri"/>
        </w:rPr>
        <w:t>in UHC, health security, and health promotion realise</w:t>
      </w:r>
      <w:r>
        <w:rPr>
          <w:rFonts w:ascii="Calibri" w:hAnsi="Calibri" w:cs="Calibri"/>
        </w:rPr>
        <w:t xml:space="preserve"> </w:t>
      </w:r>
      <w:r w:rsidRPr="00574187">
        <w:rPr>
          <w:rFonts w:ascii="Calibri" w:hAnsi="Calibri" w:cs="Calibri"/>
        </w:rPr>
        <w:t>their full potential for global health.</w:t>
      </w:r>
    </w:p>
    <w:p w:rsidR="00301892" w:rsidRDefault="00301892" w:rsidP="003018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313739" w:rsidRPr="00313739" w:rsidRDefault="00313739" w:rsidP="003137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313739">
        <w:rPr>
          <w:rFonts w:ascii="Calibri" w:hAnsi="Calibri" w:cs="Calibri"/>
          <w:sz w:val="18"/>
          <w:szCs w:val="18"/>
        </w:rPr>
        <w:t>We declare no competing interests.</w:t>
      </w:r>
    </w:p>
    <w:p w:rsidR="00313739" w:rsidRDefault="00313739" w:rsidP="003137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313739">
        <w:rPr>
          <w:rFonts w:ascii="Calibri" w:hAnsi="Calibri" w:cs="Calibri"/>
          <w:sz w:val="18"/>
          <w:szCs w:val="18"/>
        </w:rPr>
        <w:t xml:space="preserve">The </w:t>
      </w:r>
      <w:r w:rsidRPr="00313739">
        <w:rPr>
          <w:rFonts w:ascii="Calibri" w:hAnsi="Calibri" w:cs="Calibri"/>
          <w:i/>
          <w:iCs/>
          <w:sz w:val="18"/>
          <w:szCs w:val="18"/>
        </w:rPr>
        <w:t xml:space="preserve">Lancet </w:t>
      </w:r>
      <w:r w:rsidRPr="00313739">
        <w:rPr>
          <w:rFonts w:ascii="Calibri" w:hAnsi="Calibri" w:cs="Calibri"/>
          <w:sz w:val="18"/>
          <w:szCs w:val="18"/>
        </w:rPr>
        <w:t>Commission on synergies between universal health coverage, health</w:t>
      </w:r>
      <w:r>
        <w:rPr>
          <w:rFonts w:ascii="Calibri" w:hAnsi="Calibri" w:cs="Calibri"/>
          <w:sz w:val="18"/>
          <w:szCs w:val="18"/>
        </w:rPr>
        <w:t xml:space="preserve"> </w:t>
      </w:r>
      <w:r w:rsidRPr="00313739">
        <w:rPr>
          <w:rFonts w:ascii="Calibri" w:hAnsi="Calibri" w:cs="Calibri"/>
          <w:sz w:val="18"/>
          <w:szCs w:val="18"/>
        </w:rPr>
        <w:t>security, and health promotion is supported by the German Federal Ministry for</w:t>
      </w:r>
      <w:r>
        <w:rPr>
          <w:rFonts w:ascii="Calibri" w:hAnsi="Calibri" w:cs="Calibri"/>
          <w:sz w:val="18"/>
          <w:szCs w:val="18"/>
        </w:rPr>
        <w:t xml:space="preserve"> </w:t>
      </w:r>
      <w:r w:rsidRPr="00313739">
        <w:rPr>
          <w:rFonts w:ascii="Calibri" w:hAnsi="Calibri" w:cs="Calibri"/>
          <w:sz w:val="18"/>
          <w:szCs w:val="18"/>
        </w:rPr>
        <w:t xml:space="preserve">Economic Cooperation and Development (implemented by the </w:t>
      </w:r>
      <w:proofErr w:type="spellStart"/>
      <w:r w:rsidRPr="00313739">
        <w:rPr>
          <w:rFonts w:ascii="Calibri" w:hAnsi="Calibri" w:cs="Calibri"/>
          <w:sz w:val="18"/>
          <w:szCs w:val="18"/>
        </w:rPr>
        <w:t>Gesellschaft</w:t>
      </w:r>
      <w:proofErr w:type="spellEnd"/>
      <w:r w:rsidRPr="00313739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313739">
        <w:rPr>
          <w:rFonts w:ascii="Calibri" w:hAnsi="Calibri" w:cs="Calibri"/>
          <w:sz w:val="18"/>
          <w:szCs w:val="18"/>
        </w:rPr>
        <w:t>für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r w:rsidRPr="00313739">
        <w:rPr>
          <w:rFonts w:ascii="Calibri" w:hAnsi="Calibri" w:cs="Calibri"/>
          <w:sz w:val="18"/>
          <w:szCs w:val="18"/>
        </w:rPr>
        <w:t xml:space="preserve">Internationale </w:t>
      </w:r>
      <w:proofErr w:type="spellStart"/>
      <w:r w:rsidRPr="00313739">
        <w:rPr>
          <w:rFonts w:ascii="Calibri" w:hAnsi="Calibri" w:cs="Calibri"/>
          <w:sz w:val="18"/>
          <w:szCs w:val="18"/>
        </w:rPr>
        <w:t>Zusammenarbeit</w:t>
      </w:r>
      <w:proofErr w:type="spellEnd"/>
      <w:r w:rsidRPr="00313739">
        <w:rPr>
          <w:rFonts w:ascii="Calibri" w:hAnsi="Calibri" w:cs="Calibri"/>
          <w:sz w:val="18"/>
          <w:szCs w:val="18"/>
        </w:rPr>
        <w:t>), the Norwegian Agency for Development</w:t>
      </w:r>
      <w:r>
        <w:rPr>
          <w:rFonts w:ascii="Calibri" w:hAnsi="Calibri" w:cs="Calibri"/>
          <w:sz w:val="18"/>
          <w:szCs w:val="18"/>
        </w:rPr>
        <w:t xml:space="preserve"> </w:t>
      </w:r>
      <w:r w:rsidRPr="00313739">
        <w:rPr>
          <w:rFonts w:ascii="Calibri" w:hAnsi="Calibri" w:cs="Calibri"/>
          <w:sz w:val="18"/>
          <w:szCs w:val="18"/>
        </w:rPr>
        <w:t>Cooperation, the Swiss Agency for Development and Cooperation, and the</w:t>
      </w:r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313739">
        <w:rPr>
          <w:rFonts w:ascii="Calibri" w:hAnsi="Calibri" w:cs="Calibri"/>
          <w:sz w:val="18"/>
          <w:szCs w:val="18"/>
        </w:rPr>
        <w:t>Wellcome</w:t>
      </w:r>
      <w:proofErr w:type="spellEnd"/>
      <w:r w:rsidRPr="00313739">
        <w:rPr>
          <w:rFonts w:ascii="Calibri" w:hAnsi="Calibri" w:cs="Calibri"/>
          <w:sz w:val="18"/>
          <w:szCs w:val="18"/>
        </w:rPr>
        <w:t xml:space="preserve"> Trust. The funders were not involved in writing this Comment.</w:t>
      </w:r>
    </w:p>
    <w:p w:rsidR="00313739" w:rsidRPr="00313739" w:rsidRDefault="00313739" w:rsidP="003137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sectPr w:rsidR="00313739" w:rsidRPr="00313739" w:rsidSect="00574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545" w:rsidRDefault="00443545" w:rsidP="00313739">
      <w:pPr>
        <w:spacing w:after="0" w:line="240" w:lineRule="auto"/>
      </w:pPr>
      <w:r>
        <w:separator/>
      </w:r>
    </w:p>
  </w:endnote>
  <w:endnote w:type="continuationSeparator" w:id="0">
    <w:p w:rsidR="00443545" w:rsidRDefault="00443545" w:rsidP="00313739">
      <w:pPr>
        <w:spacing w:after="0" w:line="240" w:lineRule="auto"/>
      </w:pPr>
      <w:r>
        <w:continuationSeparator/>
      </w:r>
    </w:p>
  </w:endnote>
  <w:endnote w:id="1">
    <w:p w:rsidR="00313739" w:rsidRPr="00313739" w:rsidRDefault="00313739" w:rsidP="003137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13739">
        <w:rPr>
          <w:rStyle w:val="EndnoteReference"/>
          <w:rFonts w:ascii="Calibri" w:hAnsi="Calibri" w:cs="Calibri"/>
          <w:sz w:val="20"/>
          <w:szCs w:val="20"/>
        </w:rPr>
        <w:endnoteRef/>
      </w:r>
      <w:r w:rsidRPr="00313739">
        <w:rPr>
          <w:rFonts w:ascii="Calibri" w:hAnsi="Calibri" w:cs="Calibri"/>
          <w:sz w:val="20"/>
          <w:szCs w:val="20"/>
        </w:rPr>
        <w:t xml:space="preserve"> </w:t>
      </w:r>
      <w:r w:rsidRPr="00313739">
        <w:rPr>
          <w:rFonts w:ascii="Calibri" w:hAnsi="Calibri" w:cs="Calibri"/>
          <w:sz w:val="20"/>
          <w:szCs w:val="20"/>
        </w:rPr>
        <w:t>WHO. Thirteenth general programme of work, 2019–2023. Geneva: World Health Organization, 2018. http://apps.who.int/gb/ebwha/pdf_files/WHA71/A71_4-</w:t>
      </w:r>
      <w:r w:rsidRPr="00313739">
        <w:rPr>
          <w:rFonts w:ascii="Calibri" w:hAnsi="Calibri" w:cs="Calibri"/>
          <w:sz w:val="20"/>
          <w:szCs w:val="20"/>
        </w:rPr>
        <w:t>en.pdf (accessed Aug 31, 2018).</w:t>
      </w:r>
    </w:p>
  </w:endnote>
  <w:endnote w:id="2">
    <w:p w:rsidR="00313739" w:rsidRPr="00313739" w:rsidRDefault="00313739" w:rsidP="003137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13739">
        <w:rPr>
          <w:rStyle w:val="EndnoteReference"/>
          <w:rFonts w:ascii="Calibri" w:hAnsi="Calibri" w:cs="Calibri"/>
          <w:sz w:val="20"/>
          <w:szCs w:val="20"/>
        </w:rPr>
        <w:endnoteRef/>
      </w:r>
      <w:r w:rsidRPr="00313739">
        <w:rPr>
          <w:rFonts w:ascii="Calibri" w:hAnsi="Calibri" w:cs="Calibri"/>
          <w:sz w:val="20"/>
          <w:szCs w:val="20"/>
        </w:rPr>
        <w:t xml:space="preserve"> </w:t>
      </w:r>
      <w:r w:rsidRPr="00313739">
        <w:rPr>
          <w:rFonts w:ascii="Calibri" w:hAnsi="Calibri" w:cs="Calibri"/>
          <w:sz w:val="20"/>
          <w:szCs w:val="20"/>
        </w:rPr>
        <w:t>Mills A. Mass campaigns versus general health services: what have we learnt in 40 years about vertical versus horizontal approaches?</w:t>
      </w:r>
    </w:p>
    <w:p w:rsidR="00313739" w:rsidRPr="00313739" w:rsidRDefault="00313739" w:rsidP="003137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13739">
        <w:rPr>
          <w:rFonts w:ascii="Calibri" w:hAnsi="Calibri" w:cs="Calibri"/>
          <w:i/>
          <w:iCs/>
          <w:sz w:val="20"/>
          <w:szCs w:val="20"/>
        </w:rPr>
        <w:t xml:space="preserve">Bull World Health Organ </w:t>
      </w:r>
      <w:r w:rsidRPr="00313739">
        <w:rPr>
          <w:rFonts w:ascii="Calibri" w:hAnsi="Calibri" w:cs="Calibri"/>
          <w:sz w:val="20"/>
          <w:szCs w:val="20"/>
        </w:rPr>
        <w:t xml:space="preserve">2005; </w:t>
      </w:r>
      <w:r w:rsidRPr="00313739">
        <w:rPr>
          <w:rFonts w:ascii="Calibri" w:hAnsi="Calibri" w:cs="Calibri"/>
          <w:b/>
          <w:bCs/>
          <w:sz w:val="20"/>
          <w:szCs w:val="20"/>
        </w:rPr>
        <w:t xml:space="preserve">83: </w:t>
      </w:r>
      <w:r w:rsidRPr="00313739">
        <w:rPr>
          <w:rFonts w:ascii="Calibri" w:hAnsi="Calibri" w:cs="Calibri"/>
          <w:sz w:val="20"/>
          <w:szCs w:val="20"/>
        </w:rPr>
        <w:t>315–16.</w:t>
      </w:r>
    </w:p>
  </w:endnote>
  <w:endnote w:id="3">
    <w:p w:rsidR="00313739" w:rsidRPr="00313739" w:rsidRDefault="00313739" w:rsidP="003137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13739">
        <w:rPr>
          <w:rStyle w:val="EndnoteReference"/>
          <w:rFonts w:ascii="Calibri" w:hAnsi="Calibri" w:cs="Calibri"/>
          <w:sz w:val="20"/>
          <w:szCs w:val="20"/>
        </w:rPr>
        <w:endnoteRef/>
      </w:r>
      <w:r w:rsidRPr="00313739">
        <w:rPr>
          <w:rFonts w:ascii="Calibri" w:hAnsi="Calibri" w:cs="Calibri"/>
          <w:sz w:val="20"/>
          <w:szCs w:val="20"/>
        </w:rPr>
        <w:t xml:space="preserve"> </w:t>
      </w:r>
      <w:r w:rsidRPr="00313739">
        <w:rPr>
          <w:rFonts w:ascii="Calibri" w:hAnsi="Calibri" w:cs="Calibri"/>
          <w:sz w:val="20"/>
          <w:szCs w:val="20"/>
        </w:rPr>
        <w:t xml:space="preserve">Macfarlane SB, Jacobs M, </w:t>
      </w:r>
      <w:proofErr w:type="spellStart"/>
      <w:r w:rsidRPr="00313739">
        <w:rPr>
          <w:rFonts w:ascii="Calibri" w:hAnsi="Calibri" w:cs="Calibri"/>
          <w:sz w:val="20"/>
          <w:szCs w:val="20"/>
        </w:rPr>
        <w:t>Kaaya</w:t>
      </w:r>
      <w:proofErr w:type="spellEnd"/>
      <w:r w:rsidRPr="00313739">
        <w:rPr>
          <w:rFonts w:ascii="Calibri" w:hAnsi="Calibri" w:cs="Calibri"/>
          <w:sz w:val="20"/>
          <w:szCs w:val="20"/>
        </w:rPr>
        <w:t xml:space="preserve"> EE. In the name of global health: trends in academic institutions</w:t>
      </w:r>
      <w:r w:rsidRPr="00313739">
        <w:rPr>
          <w:rFonts w:ascii="Calibri" w:hAnsi="Calibri" w:cs="Calibri"/>
          <w:i/>
          <w:iCs/>
          <w:sz w:val="20"/>
          <w:szCs w:val="20"/>
        </w:rPr>
        <w:t xml:space="preserve">. J Public Health Policy </w:t>
      </w:r>
      <w:r w:rsidRPr="00313739">
        <w:rPr>
          <w:rFonts w:ascii="Calibri" w:hAnsi="Calibri" w:cs="Calibri"/>
          <w:sz w:val="20"/>
          <w:szCs w:val="20"/>
        </w:rPr>
        <w:t xml:space="preserve">2008; </w:t>
      </w:r>
      <w:r w:rsidRPr="00313739">
        <w:rPr>
          <w:rFonts w:ascii="Calibri" w:hAnsi="Calibri" w:cs="Calibri"/>
          <w:b/>
          <w:bCs/>
          <w:sz w:val="20"/>
          <w:szCs w:val="20"/>
        </w:rPr>
        <w:t xml:space="preserve">29: </w:t>
      </w:r>
      <w:r w:rsidRPr="00313739">
        <w:rPr>
          <w:rFonts w:ascii="Calibri" w:hAnsi="Calibri" w:cs="Calibri"/>
          <w:sz w:val="20"/>
          <w:szCs w:val="20"/>
        </w:rPr>
        <w:t>383–401.</w:t>
      </w:r>
    </w:p>
  </w:endnote>
  <w:endnote w:id="4">
    <w:p w:rsidR="00313739" w:rsidRPr="00313739" w:rsidRDefault="00313739">
      <w:pPr>
        <w:pStyle w:val="EndnoteText"/>
        <w:rPr>
          <w:rFonts w:ascii="Calibri" w:hAnsi="Calibri" w:cs="Calibri"/>
          <w:lang w:val="nl-BE"/>
        </w:rPr>
      </w:pPr>
      <w:r w:rsidRPr="00313739">
        <w:rPr>
          <w:rStyle w:val="EndnoteReference"/>
          <w:rFonts w:ascii="Calibri" w:hAnsi="Calibri" w:cs="Calibri"/>
        </w:rPr>
        <w:endnoteRef/>
      </w:r>
      <w:r w:rsidRPr="00313739">
        <w:rPr>
          <w:rFonts w:ascii="Calibri" w:hAnsi="Calibri" w:cs="Calibri"/>
        </w:rPr>
        <w:t xml:space="preserve"> </w:t>
      </w:r>
      <w:r w:rsidRPr="00313739">
        <w:rPr>
          <w:rFonts w:ascii="Calibri" w:hAnsi="Calibri" w:cs="Calibri"/>
        </w:rPr>
        <w:t xml:space="preserve">World Health Organization Maximizing Positive Synergies Collaborative Group. An assessment of interactions between global health initiatives and country health systems. </w:t>
      </w:r>
      <w:r w:rsidRPr="00313739">
        <w:rPr>
          <w:rFonts w:ascii="Calibri" w:hAnsi="Calibri" w:cs="Calibri"/>
          <w:i/>
          <w:iCs/>
        </w:rPr>
        <w:t xml:space="preserve">Lancet </w:t>
      </w:r>
      <w:r w:rsidRPr="00313739">
        <w:rPr>
          <w:rFonts w:ascii="Calibri" w:hAnsi="Calibri" w:cs="Calibri"/>
        </w:rPr>
        <w:t xml:space="preserve">2009; </w:t>
      </w:r>
      <w:r w:rsidRPr="00313739">
        <w:rPr>
          <w:rFonts w:ascii="Calibri" w:hAnsi="Calibri" w:cs="Calibri"/>
          <w:b/>
          <w:bCs/>
        </w:rPr>
        <w:t xml:space="preserve">373: </w:t>
      </w:r>
      <w:r w:rsidRPr="00313739">
        <w:rPr>
          <w:rFonts w:ascii="Calibri" w:hAnsi="Calibri" w:cs="Calibri"/>
        </w:rPr>
        <w:t>2137–69.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545" w:rsidRDefault="00443545" w:rsidP="00313739">
      <w:pPr>
        <w:spacing w:after="0" w:line="240" w:lineRule="auto"/>
      </w:pPr>
      <w:r>
        <w:separator/>
      </w:r>
    </w:p>
  </w:footnote>
  <w:footnote w:type="continuationSeparator" w:id="0">
    <w:p w:rsidR="00443545" w:rsidRDefault="00443545" w:rsidP="00313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92"/>
    <w:rsid w:val="00037F7B"/>
    <w:rsid w:val="00301892"/>
    <w:rsid w:val="00313739"/>
    <w:rsid w:val="00443545"/>
    <w:rsid w:val="00574187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5746"/>
  <w15:chartTrackingRefBased/>
  <w15:docId w15:val="{9358155A-9B3D-45A8-8C03-DED0CC6F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187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373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373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37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orik.ooms@lshtm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8FBCA-F28D-447D-9D7D-FAD06D9E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Gorik Ooms</dc:creator>
  <cp:keywords/>
  <dc:description/>
  <cp:lastModifiedBy>Gorik Ooms</cp:lastModifiedBy>
  <cp:revision>2</cp:revision>
  <dcterms:created xsi:type="dcterms:W3CDTF">2019-01-31T08:56:00Z</dcterms:created>
  <dcterms:modified xsi:type="dcterms:W3CDTF">2019-01-31T09:30:00Z</dcterms:modified>
</cp:coreProperties>
</file>