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92" w:rsidRP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301892">
        <w:rPr>
          <w:rFonts w:ascii="Calibri" w:hAnsi="Calibri" w:cs="Calibri"/>
          <w:b/>
          <w:bCs/>
          <w:color w:val="000000"/>
          <w:sz w:val="36"/>
          <w:szCs w:val="36"/>
        </w:rPr>
        <w:t xml:space="preserve">Addressing the fragmentation of global health: the </w:t>
      </w:r>
      <w:r w:rsidRPr="00301892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Lancet</w:t>
      </w:r>
      <w:r w:rsidRPr="00301892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 xml:space="preserve"> </w:t>
      </w:r>
      <w:r w:rsidRPr="00301892">
        <w:rPr>
          <w:rFonts w:ascii="Calibri" w:hAnsi="Calibri" w:cs="Calibri"/>
          <w:b/>
          <w:bCs/>
          <w:color w:val="000000"/>
          <w:sz w:val="36"/>
          <w:szCs w:val="36"/>
        </w:rPr>
        <w:t>Commission on synergies between universal health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Pr="00301892">
        <w:rPr>
          <w:rFonts w:ascii="Calibri" w:hAnsi="Calibri" w:cs="Calibri"/>
          <w:b/>
          <w:bCs/>
          <w:color w:val="000000"/>
          <w:sz w:val="36"/>
          <w:szCs w:val="36"/>
        </w:rPr>
        <w:t>coverage, health security, and health promotion</w:t>
      </w:r>
    </w:p>
    <w:p w:rsid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74187" w:rsidRP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lang w:val="nl-BE"/>
        </w:rPr>
      </w:pPr>
      <w:r w:rsidRPr="00574187">
        <w:rPr>
          <w:rFonts w:ascii="Calibri" w:hAnsi="Calibri" w:cs="Calibri"/>
          <w:b/>
          <w:i/>
          <w:iCs/>
          <w:lang w:val="nl-BE"/>
        </w:rPr>
        <w:t>Gorik Ooms, Trygve Ottersen, Albrecht Jahn,</w:t>
      </w:r>
      <w:r w:rsidRPr="00574187">
        <w:rPr>
          <w:rFonts w:ascii="Calibri" w:hAnsi="Calibri" w:cs="Calibri"/>
          <w:b/>
          <w:i/>
          <w:iCs/>
          <w:lang w:val="nl-BE"/>
        </w:rPr>
        <w:t xml:space="preserve"> </w:t>
      </w:r>
      <w:r w:rsidRPr="00574187">
        <w:rPr>
          <w:rFonts w:ascii="Calibri" w:hAnsi="Calibri" w:cs="Calibri"/>
          <w:b/>
          <w:i/>
          <w:iCs/>
          <w:lang w:val="nl-BE"/>
        </w:rPr>
        <w:t>Irene Akua Agyepong</w:t>
      </w:r>
    </w:p>
    <w:p w:rsidR="00574187" w:rsidRP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 w:rsidRPr="00574187">
        <w:rPr>
          <w:rFonts w:ascii="Calibri" w:hAnsi="Calibri" w:cs="Calibri"/>
          <w:sz w:val="17"/>
          <w:szCs w:val="17"/>
        </w:rPr>
        <w:t>Department of Global Health and Development, London School of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Hygiene &amp; Tropical Medicine, London WC1H 9SH, UK (GO); Division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for Health Services, Norwegian Institute of Public Health, Oslo,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Norway (TO); Department of Community Medicine and Global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Health and Centre for Global Health, University of Oslo, Oslo,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Norway (TO); Heidelberg Institute of Global Health, University of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 xml:space="preserve">Heidelberg, Heidelberg, Germany (AJ); </w:t>
      </w:r>
      <w:proofErr w:type="spellStart"/>
      <w:r w:rsidRPr="00574187">
        <w:rPr>
          <w:rFonts w:ascii="Calibri" w:hAnsi="Calibri" w:cs="Calibri"/>
          <w:sz w:val="17"/>
          <w:szCs w:val="17"/>
        </w:rPr>
        <w:t>Dodowa</w:t>
      </w:r>
      <w:proofErr w:type="spellEnd"/>
      <w:r w:rsidRPr="00574187">
        <w:rPr>
          <w:rFonts w:ascii="Calibri" w:hAnsi="Calibri" w:cs="Calibri"/>
          <w:sz w:val="17"/>
          <w:szCs w:val="17"/>
        </w:rPr>
        <w:t xml:space="preserve"> Health Research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Center, Research and Development Division, Ghana Health Service,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proofErr w:type="spellStart"/>
      <w:r w:rsidRPr="00574187">
        <w:rPr>
          <w:rFonts w:ascii="Calibri" w:hAnsi="Calibri" w:cs="Calibri"/>
          <w:sz w:val="17"/>
          <w:szCs w:val="17"/>
        </w:rPr>
        <w:t>Dodowa</w:t>
      </w:r>
      <w:proofErr w:type="spellEnd"/>
      <w:r w:rsidRPr="00574187">
        <w:rPr>
          <w:rFonts w:ascii="Calibri" w:hAnsi="Calibri" w:cs="Calibri"/>
          <w:sz w:val="17"/>
          <w:szCs w:val="17"/>
        </w:rPr>
        <w:t>, Ghana (IAA); and Public Health Faculty, Ghana College of</w:t>
      </w:r>
      <w:r w:rsidRPr="00574187">
        <w:rPr>
          <w:rFonts w:ascii="Calibri" w:hAnsi="Calibri" w:cs="Calibri"/>
          <w:sz w:val="17"/>
          <w:szCs w:val="17"/>
        </w:rPr>
        <w:t xml:space="preserve"> </w:t>
      </w:r>
      <w:r w:rsidRPr="00574187">
        <w:rPr>
          <w:rFonts w:ascii="Calibri" w:hAnsi="Calibri" w:cs="Calibri"/>
          <w:sz w:val="17"/>
          <w:szCs w:val="17"/>
        </w:rPr>
        <w:t>Physicians and Surgeons, Accra, Ghana (IAA)</w:t>
      </w:r>
    </w:p>
    <w:p w:rsidR="00574187" w:rsidRP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7" w:history="1">
        <w:r w:rsidRPr="00574187">
          <w:rPr>
            <w:rStyle w:val="Hyperlink"/>
            <w:rFonts w:ascii="Calibri" w:hAnsi="Calibri" w:cs="Calibri"/>
            <w:sz w:val="17"/>
            <w:szCs w:val="17"/>
          </w:rPr>
          <w:t>gorik.ooms@lshtm.ac.uk</w:t>
        </w:r>
      </w:hyperlink>
      <w:r w:rsidRPr="00574187">
        <w:rPr>
          <w:rFonts w:ascii="Calibri" w:hAnsi="Calibri" w:cs="Calibri"/>
          <w:sz w:val="17"/>
          <w:szCs w:val="17"/>
        </w:rPr>
        <w:t xml:space="preserve"> </w:t>
      </w:r>
    </w:p>
    <w:p w:rsidR="00574187" w:rsidRDefault="00574187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1892" w:rsidRP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1892">
        <w:rPr>
          <w:rFonts w:ascii="Calibri" w:hAnsi="Calibri" w:cs="Calibri"/>
          <w:color w:val="000000"/>
        </w:rPr>
        <w:t>Global health is fragmented. Many stakeholders pursue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their own agenda while neglecting other important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goals for global health. Some global health actors,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for example, focus on strengthening health security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without attention to universal health coverage (UHC),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primary health care (PHC), and population-based health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promotion. Prevention is a key part of PHC and UHC,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but efforts to ensure PHC or make progress towards</w:t>
      </w:r>
      <w:r w:rsidR="00574187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UHC often do not include population-based prevention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efforts. Proponents often use broad definitions of their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agenda in declarations and statements, while applying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much narrower definitions in practice. If these tensions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are not addressed, fragmentation will continue to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make local, national, and global efforts inefficient and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opportunities will be lost in terms of lives saved and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quality of life.</w:t>
      </w:r>
    </w:p>
    <w:p w:rsidR="00301892" w:rsidRP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1892" w:rsidRP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01892">
        <w:rPr>
          <w:rFonts w:ascii="Calibri" w:hAnsi="Calibri" w:cs="Calibri"/>
          <w:color w:val="000000"/>
        </w:rPr>
        <w:t>The Sustainable Development Goals (SDGs) and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WHO’s general programme of work 2019–2023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(GPW)</w:t>
      </w:r>
      <w:r w:rsidR="00313739">
        <w:rPr>
          <w:rStyle w:val="EndnoteReference"/>
          <w:rFonts w:ascii="Calibri" w:hAnsi="Calibri" w:cs="Calibri"/>
          <w:color w:val="000000"/>
        </w:rPr>
        <w:endnoteReference w:id="1"/>
      </w:r>
      <w:r w:rsidRPr="00301892">
        <w:rPr>
          <w:rFonts w:ascii="Calibri" w:hAnsi="Calibri" w:cs="Calibri"/>
          <w:color w:val="000000"/>
        </w:rPr>
        <w:t xml:space="preserve"> come with unprecedented potential for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coherence. The broad SDGs highlight how the goals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and targets are intertwined.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With respect to health,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this interconnectedness is featured throughout SDG 3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and in other SDG goals. Similarly, WHO’s GPW shows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that the organisation’s efforts can be subsumed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under three strategic priorities: UHC (1 billion more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people benefiting from UHC), health emergencies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(1 billion more people better protected from health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emergencies), and healthier populations (1 billion more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 xml:space="preserve">people enjoying better health and wellbeing). </w:t>
      </w:r>
      <w:proofErr w:type="gramStart"/>
      <w:r w:rsidRPr="00301892">
        <w:rPr>
          <w:rFonts w:ascii="Calibri" w:hAnsi="Calibri" w:cs="Calibri"/>
          <w:color w:val="000000"/>
        </w:rPr>
        <w:t>WHO’s</w:t>
      </w:r>
      <w:proofErr w:type="gramEnd"/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GPW underscores the importance of pursuing these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priorities in an integrated way (figure).</w:t>
      </w:r>
    </w:p>
    <w:p w:rsid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4187" w:rsidRPr="00301892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1892">
        <w:rPr>
          <w:rFonts w:ascii="Calibri" w:hAnsi="Calibri" w:cs="Calibri"/>
          <w:b/>
          <w:bCs/>
          <w:i/>
          <w:iCs/>
          <w:color w:val="000000"/>
        </w:rPr>
        <w:t xml:space="preserve">Figure: </w:t>
      </w:r>
      <w:r w:rsidRPr="00301892">
        <w:rPr>
          <w:rFonts w:ascii="Calibri" w:hAnsi="Calibri" w:cs="Calibri"/>
          <w:b/>
          <w:bCs/>
          <w:color w:val="000000"/>
        </w:rPr>
        <w:t xml:space="preserve">A set of interconnected strategic priorities and goals to ensure healthy lives and promote wellbeing for all at all ages from WHO’s general programme of work 2019–2023. </w:t>
      </w:r>
      <w:r w:rsidRPr="00301892">
        <w:rPr>
          <w:rFonts w:ascii="Calibri" w:hAnsi="Calibri" w:cs="Calibri"/>
          <w:color w:val="000000"/>
        </w:rPr>
        <w:t>Reprinted from WHO’s Thirteenth general</w:t>
      </w:r>
      <w:r w:rsidR="00037F7B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301892">
        <w:rPr>
          <w:rFonts w:ascii="Calibri" w:hAnsi="Calibri" w:cs="Calibri"/>
          <w:color w:val="000000"/>
        </w:rPr>
        <w:t>programme of work, 2019–2023.</w:t>
      </w:r>
    </w:p>
    <w:p w:rsidR="00574187" w:rsidRDefault="00574187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74187" w:rsidRPr="00301892" w:rsidRDefault="00574187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w:drawing>
          <wp:inline distT="0" distB="0" distL="0" distR="0">
            <wp:extent cx="3906000" cy="35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lapping diagram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35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87" w:rsidRDefault="00301892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01892">
        <w:rPr>
          <w:rFonts w:ascii="Calibri" w:hAnsi="Calibri" w:cs="Calibri"/>
          <w:color w:val="000000"/>
        </w:rPr>
        <w:t>However, some drivers of fragmentation between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these three priorities and corresponding agendas are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powerful. Path dependency is one. Some global health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institutions, initiatives, and programmes have narrow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 xml:space="preserve">mandates that </w:t>
      </w:r>
      <w:r w:rsidRPr="00301892">
        <w:rPr>
          <w:rFonts w:ascii="Calibri" w:hAnsi="Calibri" w:cs="Calibri"/>
          <w:color w:val="000000"/>
        </w:rPr>
        <w:lastRenderedPageBreak/>
        <w:t>are difficult to change—a challenge much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debated in the context of vertical health programmes.</w:t>
      </w:r>
      <w:r w:rsidR="00313739">
        <w:rPr>
          <w:rStyle w:val="EndnoteReference"/>
          <w:rFonts w:ascii="Calibri" w:hAnsi="Calibri" w:cs="Calibri"/>
          <w:color w:val="000000"/>
        </w:rPr>
        <w:endnoteReference w:id="2"/>
      </w:r>
      <w:r w:rsidRPr="00301892">
        <w:rPr>
          <w:rFonts w:ascii="Calibri" w:hAnsi="Calibri" w:cs="Calibri"/>
          <w:color w:val="000000"/>
        </w:rPr>
        <w:t xml:space="preserve">  </w:t>
      </w:r>
      <w:r w:rsidRPr="00301892">
        <w:rPr>
          <w:rFonts w:ascii="Calibri" w:hAnsi="Calibri" w:cs="Calibri"/>
          <w:color w:val="000000"/>
        </w:rPr>
        <w:t>Another driver of fragmentation is diverging national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interests, especially when countries claim that their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own interests come first. This driver of fragmentation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may intensify, and, as Macfarlane and colleagues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suggest, steer global health cooperation towards efforts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addressing “common vulnerabilities to the spread of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communicable diseases and to the spread of risk factors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for non-communicable diseases that necessitates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national and international strategies”, and away from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efforts tackling “huge inequalities in disease burden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between rich and poor countries and between rich and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poor people anywhere”.</w:t>
      </w:r>
      <w:r w:rsidR="00313739">
        <w:rPr>
          <w:rStyle w:val="EndnoteReference"/>
          <w:rFonts w:ascii="Calibri" w:hAnsi="Calibri" w:cs="Calibri"/>
          <w:color w:val="000000"/>
        </w:rPr>
        <w:endnoteReference w:id="3"/>
      </w:r>
      <w:r w:rsidRPr="00301892">
        <w:rPr>
          <w:rFonts w:ascii="Calibri" w:hAnsi="Calibri" w:cs="Calibri"/>
          <w:color w:val="000000"/>
        </w:rPr>
        <w:t xml:space="preserve"> Although the SDGs and WHO’s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GPW come with great potential for integration, they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could also give rise to further fragmentation. Given the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ambition of the wide-ranging SDGs, which are much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broader than the preceding Millennium Development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Goals, some actors might justify prioritising UHC with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reference to SDG 3.8, whereas others might prioritise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>health security with reference to SDG 3.d.</w:t>
      </w:r>
      <w:r w:rsidRPr="00301892">
        <w:rPr>
          <w:rFonts w:ascii="Calibri" w:hAnsi="Calibri" w:cs="Calibri"/>
          <w:color w:val="000000"/>
        </w:rPr>
        <w:t xml:space="preserve"> </w:t>
      </w:r>
      <w:r w:rsidRPr="00301892">
        <w:rPr>
          <w:rFonts w:ascii="Calibri" w:hAnsi="Calibri" w:cs="Calibri"/>
          <w:color w:val="000000"/>
        </w:rPr>
        <w:t xml:space="preserve">The </w:t>
      </w:r>
      <w:r w:rsidRPr="00301892">
        <w:rPr>
          <w:rFonts w:ascii="Calibri" w:hAnsi="Calibri" w:cs="Calibri"/>
          <w:i/>
          <w:iCs/>
          <w:color w:val="000000"/>
        </w:rPr>
        <w:t xml:space="preserve">Lancet </w:t>
      </w:r>
      <w:r w:rsidRPr="00301892">
        <w:rPr>
          <w:rFonts w:ascii="Calibri" w:hAnsi="Calibri" w:cs="Calibri"/>
          <w:color w:val="000000"/>
        </w:rPr>
        <w:t xml:space="preserve">Commission on synergies between </w:t>
      </w:r>
      <w:r w:rsidRPr="00574187">
        <w:rPr>
          <w:rFonts w:ascii="Calibri" w:hAnsi="Calibri" w:cs="Calibri"/>
          <w:color w:val="000000"/>
        </w:rPr>
        <w:t>UHC,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health security, and health promotion aims to overcome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fragmentation and realise the potential for coherence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in global health. The Commission will systematically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examine intersections between these leading agendas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in global health. Inspired by WHO’s Maximizing Positive</w:t>
      </w:r>
      <w:r w:rsidRPr="00574187">
        <w:rPr>
          <w:rFonts w:ascii="Calibri" w:hAnsi="Calibri" w:cs="Calibri"/>
          <w:color w:val="000000"/>
        </w:rPr>
        <w:t xml:space="preserve"> </w:t>
      </w:r>
      <w:r w:rsidRPr="00574187">
        <w:rPr>
          <w:rFonts w:ascii="Calibri" w:hAnsi="Calibri" w:cs="Calibri"/>
          <w:color w:val="000000"/>
        </w:rPr>
        <w:t>Synergies initiative,</w:t>
      </w:r>
      <w:r w:rsidR="00313739">
        <w:rPr>
          <w:rStyle w:val="EndnoteReference"/>
          <w:rFonts w:ascii="Calibri" w:hAnsi="Calibri" w:cs="Calibri"/>
          <w:color w:val="000000"/>
        </w:rPr>
        <w:endnoteReference w:id="4"/>
      </w:r>
      <w:r w:rsidRPr="00574187">
        <w:rPr>
          <w:rFonts w:ascii="Calibri" w:hAnsi="Calibri" w:cs="Calibri"/>
          <w:color w:val="000000"/>
        </w:rPr>
        <w:t xml:space="preserve"> the Commission will find synergies</w:t>
      </w:r>
      <w:r w:rsidR="00574187" w:rsidRPr="00574187">
        <w:rPr>
          <w:rFonts w:ascii="Calibri" w:hAnsi="Calibri" w:cs="Calibri"/>
          <w:color w:val="000000"/>
        </w:rPr>
        <w:t xml:space="preserve"> </w:t>
      </w:r>
      <w:r w:rsidR="00574187" w:rsidRPr="00574187">
        <w:rPr>
          <w:rFonts w:ascii="Calibri" w:hAnsi="Calibri" w:cs="Calibri"/>
        </w:rPr>
        <w:t>between the three agendas. The Commission will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identify a set of key policies, institutional capacities,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decision-support systems, and interventions that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each contributes across the three agendas and makes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progress in one area amplify progress in the others. The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findings will help the many and diverse stakeholders in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global health better align their efforts, cooperate more</w:t>
      </w:r>
      <w:r w:rsidR="00574187">
        <w:rPr>
          <w:rFonts w:ascii="Calibri" w:hAnsi="Calibri" w:cs="Calibri"/>
        </w:rPr>
        <w:t xml:space="preserve"> </w:t>
      </w:r>
      <w:r w:rsidR="00574187" w:rsidRPr="00574187">
        <w:rPr>
          <w:rFonts w:ascii="Calibri" w:hAnsi="Calibri" w:cs="Calibri"/>
        </w:rPr>
        <w:t>efficiently, and save and improve more lives</w:t>
      </w:r>
      <w:r w:rsidR="00574187">
        <w:rPr>
          <w:rFonts w:ascii="Calibri" w:hAnsi="Calibri" w:cs="Calibri"/>
        </w:rPr>
        <w:t>.</w:t>
      </w:r>
    </w:p>
    <w:p w:rsid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74187">
        <w:rPr>
          <w:rFonts w:ascii="Calibri" w:hAnsi="Calibri" w:cs="Calibri"/>
        </w:rPr>
        <w:t>The synergies Commission will be co-chaired by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 xml:space="preserve">Irene </w:t>
      </w:r>
      <w:proofErr w:type="spellStart"/>
      <w:r w:rsidRPr="00574187">
        <w:rPr>
          <w:rFonts w:ascii="Calibri" w:hAnsi="Calibri" w:cs="Calibri"/>
        </w:rPr>
        <w:t>Akua</w:t>
      </w:r>
      <w:proofErr w:type="spellEnd"/>
      <w:r w:rsidRPr="00574187">
        <w:rPr>
          <w:rFonts w:ascii="Calibri" w:hAnsi="Calibri" w:cs="Calibri"/>
        </w:rPr>
        <w:t xml:space="preserve"> Agyepong and Gorik Ooms and hosted by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the London School of Hygiene &amp; Tropical Medicine,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the Norwegian Institute of Public Health, and the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Heidelberg Institute of Global Health. It will bring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together 24 scholars from 20 countries who have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expertise cutting across the three agendas (appendix).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Additionally, 19 policy makers, or scholars working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closely with policy makers, will comprise an advisory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board. The synergies Commission has its first meeting in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London, UK, on Sept 10–12, 2018, and aims to publish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its final report in 2020.</w:t>
      </w:r>
      <w:r>
        <w:rPr>
          <w:rFonts w:ascii="Calibri" w:hAnsi="Calibri" w:cs="Calibri"/>
        </w:rPr>
        <w:t xml:space="preserve"> </w:t>
      </w:r>
    </w:p>
    <w:p w:rsid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892" w:rsidRPr="00574187" w:rsidRDefault="00574187" w:rsidP="00574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74187">
        <w:rPr>
          <w:rFonts w:ascii="Calibri" w:hAnsi="Calibri" w:cs="Calibri"/>
        </w:rPr>
        <w:t>The Commission’s report will offer actionable recommendations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for multiple actors in global health. These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recommendations should help ensure that investments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in UHC, health security, and health promotion realise</w:t>
      </w:r>
      <w:r>
        <w:rPr>
          <w:rFonts w:ascii="Calibri" w:hAnsi="Calibri" w:cs="Calibri"/>
        </w:rPr>
        <w:t xml:space="preserve"> </w:t>
      </w:r>
      <w:r w:rsidRPr="00574187">
        <w:rPr>
          <w:rFonts w:ascii="Calibri" w:hAnsi="Calibri" w:cs="Calibri"/>
        </w:rPr>
        <w:t>their full potential for global health.</w:t>
      </w:r>
    </w:p>
    <w:p w:rsidR="00301892" w:rsidRDefault="00301892" w:rsidP="003018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13739">
        <w:rPr>
          <w:rFonts w:ascii="Calibri" w:hAnsi="Calibri" w:cs="Calibri"/>
          <w:sz w:val="18"/>
          <w:szCs w:val="18"/>
        </w:rPr>
        <w:t>We declare no competing interests.</w:t>
      </w:r>
    </w:p>
    <w:p w:rsid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313739">
        <w:rPr>
          <w:rFonts w:ascii="Calibri" w:hAnsi="Calibri" w:cs="Calibri"/>
          <w:sz w:val="18"/>
          <w:szCs w:val="18"/>
        </w:rPr>
        <w:t xml:space="preserve">The </w:t>
      </w:r>
      <w:r w:rsidRPr="00313739">
        <w:rPr>
          <w:rFonts w:ascii="Calibri" w:hAnsi="Calibri" w:cs="Calibri"/>
          <w:i/>
          <w:iCs/>
          <w:sz w:val="18"/>
          <w:szCs w:val="18"/>
        </w:rPr>
        <w:t xml:space="preserve">Lancet </w:t>
      </w:r>
      <w:r w:rsidRPr="00313739">
        <w:rPr>
          <w:rFonts w:ascii="Calibri" w:hAnsi="Calibri" w:cs="Calibri"/>
          <w:sz w:val="18"/>
          <w:szCs w:val="18"/>
        </w:rPr>
        <w:t>Commission on synergies between universal health coverage, health</w:t>
      </w:r>
      <w:r>
        <w:rPr>
          <w:rFonts w:ascii="Calibri" w:hAnsi="Calibri" w:cs="Calibri"/>
          <w:sz w:val="18"/>
          <w:szCs w:val="18"/>
        </w:rPr>
        <w:t xml:space="preserve"> </w:t>
      </w:r>
      <w:r w:rsidRPr="00313739">
        <w:rPr>
          <w:rFonts w:ascii="Calibri" w:hAnsi="Calibri" w:cs="Calibri"/>
          <w:sz w:val="18"/>
          <w:szCs w:val="18"/>
        </w:rPr>
        <w:t>security, and health promotion is supported by the German Federal Ministry for</w:t>
      </w:r>
      <w:r>
        <w:rPr>
          <w:rFonts w:ascii="Calibri" w:hAnsi="Calibri" w:cs="Calibri"/>
          <w:sz w:val="18"/>
          <w:szCs w:val="18"/>
        </w:rPr>
        <w:t xml:space="preserve"> </w:t>
      </w:r>
      <w:r w:rsidRPr="00313739">
        <w:rPr>
          <w:rFonts w:ascii="Calibri" w:hAnsi="Calibri" w:cs="Calibri"/>
          <w:sz w:val="18"/>
          <w:szCs w:val="18"/>
        </w:rPr>
        <w:t xml:space="preserve">Economic Cooperation and Development (implemented by the </w:t>
      </w:r>
      <w:proofErr w:type="spellStart"/>
      <w:r w:rsidRPr="00313739">
        <w:rPr>
          <w:rFonts w:ascii="Calibri" w:hAnsi="Calibri" w:cs="Calibri"/>
          <w:sz w:val="18"/>
          <w:szCs w:val="18"/>
        </w:rPr>
        <w:t>Gesellschaft</w:t>
      </w:r>
      <w:proofErr w:type="spellEnd"/>
      <w:r w:rsidRPr="0031373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313739">
        <w:rPr>
          <w:rFonts w:ascii="Calibri" w:hAnsi="Calibri" w:cs="Calibri"/>
          <w:sz w:val="18"/>
          <w:szCs w:val="18"/>
        </w:rPr>
        <w:t>für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Pr="00313739">
        <w:rPr>
          <w:rFonts w:ascii="Calibri" w:hAnsi="Calibri" w:cs="Calibri"/>
          <w:sz w:val="18"/>
          <w:szCs w:val="18"/>
        </w:rPr>
        <w:t xml:space="preserve">Internationale </w:t>
      </w:r>
      <w:proofErr w:type="spellStart"/>
      <w:r w:rsidRPr="00313739">
        <w:rPr>
          <w:rFonts w:ascii="Calibri" w:hAnsi="Calibri" w:cs="Calibri"/>
          <w:sz w:val="18"/>
          <w:szCs w:val="18"/>
        </w:rPr>
        <w:t>Zusammenarbeit</w:t>
      </w:r>
      <w:proofErr w:type="spellEnd"/>
      <w:r w:rsidRPr="00313739">
        <w:rPr>
          <w:rFonts w:ascii="Calibri" w:hAnsi="Calibri" w:cs="Calibri"/>
          <w:sz w:val="18"/>
          <w:szCs w:val="18"/>
        </w:rPr>
        <w:t>), the Norwegian Agency for Development</w:t>
      </w:r>
      <w:r>
        <w:rPr>
          <w:rFonts w:ascii="Calibri" w:hAnsi="Calibri" w:cs="Calibri"/>
          <w:sz w:val="18"/>
          <w:szCs w:val="18"/>
        </w:rPr>
        <w:t xml:space="preserve"> </w:t>
      </w:r>
      <w:r w:rsidRPr="00313739">
        <w:rPr>
          <w:rFonts w:ascii="Calibri" w:hAnsi="Calibri" w:cs="Calibri"/>
          <w:sz w:val="18"/>
          <w:szCs w:val="18"/>
        </w:rPr>
        <w:t>Cooperation, the Swiss Agency for Development and Cooperation, and the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313739">
        <w:rPr>
          <w:rFonts w:ascii="Calibri" w:hAnsi="Calibri" w:cs="Calibri"/>
          <w:sz w:val="18"/>
          <w:szCs w:val="18"/>
        </w:rPr>
        <w:t>Wellcome</w:t>
      </w:r>
      <w:proofErr w:type="spellEnd"/>
      <w:r w:rsidRPr="00313739">
        <w:rPr>
          <w:rFonts w:ascii="Calibri" w:hAnsi="Calibri" w:cs="Calibri"/>
          <w:sz w:val="18"/>
          <w:szCs w:val="18"/>
        </w:rPr>
        <w:t xml:space="preserve"> Trust. The funders were not involved in writing this Comment.</w:t>
      </w:r>
    </w:p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313739" w:rsidRPr="00313739" w:rsidSect="0057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45" w:rsidRDefault="00443545" w:rsidP="00313739">
      <w:pPr>
        <w:spacing w:after="0" w:line="240" w:lineRule="auto"/>
      </w:pPr>
      <w:r>
        <w:separator/>
      </w:r>
    </w:p>
  </w:endnote>
  <w:endnote w:type="continuationSeparator" w:id="0">
    <w:p w:rsidR="00443545" w:rsidRDefault="00443545" w:rsidP="00313739">
      <w:pPr>
        <w:spacing w:after="0" w:line="240" w:lineRule="auto"/>
      </w:pPr>
      <w:r>
        <w:continuationSeparator/>
      </w:r>
    </w:p>
  </w:endnote>
  <w:endnote w:id="1"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39">
        <w:rPr>
          <w:rStyle w:val="EndnoteReference"/>
          <w:rFonts w:ascii="Calibri" w:hAnsi="Calibri" w:cs="Calibri"/>
          <w:sz w:val="20"/>
          <w:szCs w:val="20"/>
        </w:rPr>
        <w:endnoteRef/>
      </w:r>
      <w:r w:rsidRPr="00313739">
        <w:rPr>
          <w:rFonts w:ascii="Calibri" w:hAnsi="Calibri" w:cs="Calibri"/>
          <w:sz w:val="20"/>
          <w:szCs w:val="20"/>
        </w:rPr>
        <w:t xml:space="preserve"> </w:t>
      </w:r>
      <w:r w:rsidRPr="00313739">
        <w:rPr>
          <w:rFonts w:ascii="Calibri" w:hAnsi="Calibri" w:cs="Calibri"/>
          <w:sz w:val="20"/>
          <w:szCs w:val="20"/>
        </w:rPr>
        <w:t>WHO. Thirteenth general programme of work, 2019–2023. Geneva: World Health Organization, 2018. http://apps.who.int/gb/ebwha/pdf_files/WHA71/A71_4-</w:t>
      </w:r>
      <w:r w:rsidRPr="00313739">
        <w:rPr>
          <w:rFonts w:ascii="Calibri" w:hAnsi="Calibri" w:cs="Calibri"/>
          <w:sz w:val="20"/>
          <w:szCs w:val="20"/>
        </w:rPr>
        <w:t>en.pdf (accessed Aug 31, 2018).</w:t>
      </w:r>
    </w:p>
  </w:endnote>
  <w:endnote w:id="2"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39">
        <w:rPr>
          <w:rStyle w:val="EndnoteReference"/>
          <w:rFonts w:ascii="Calibri" w:hAnsi="Calibri" w:cs="Calibri"/>
          <w:sz w:val="20"/>
          <w:szCs w:val="20"/>
        </w:rPr>
        <w:endnoteRef/>
      </w:r>
      <w:r w:rsidRPr="00313739">
        <w:rPr>
          <w:rFonts w:ascii="Calibri" w:hAnsi="Calibri" w:cs="Calibri"/>
          <w:sz w:val="20"/>
          <w:szCs w:val="20"/>
        </w:rPr>
        <w:t xml:space="preserve"> </w:t>
      </w:r>
      <w:r w:rsidRPr="00313739">
        <w:rPr>
          <w:rFonts w:ascii="Calibri" w:hAnsi="Calibri" w:cs="Calibri"/>
          <w:sz w:val="20"/>
          <w:szCs w:val="20"/>
        </w:rPr>
        <w:t>Mills A. Mass campaigns versus general health services: what have we learnt in 40 years about vertical versus horizontal approaches?</w:t>
      </w:r>
    </w:p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39">
        <w:rPr>
          <w:rFonts w:ascii="Calibri" w:hAnsi="Calibri" w:cs="Calibri"/>
          <w:i/>
          <w:iCs/>
          <w:sz w:val="20"/>
          <w:szCs w:val="20"/>
        </w:rPr>
        <w:t xml:space="preserve">Bull World Health Organ </w:t>
      </w:r>
      <w:r w:rsidRPr="00313739">
        <w:rPr>
          <w:rFonts w:ascii="Calibri" w:hAnsi="Calibri" w:cs="Calibri"/>
          <w:sz w:val="20"/>
          <w:szCs w:val="20"/>
        </w:rPr>
        <w:t xml:space="preserve">2005; </w:t>
      </w:r>
      <w:r w:rsidRPr="00313739">
        <w:rPr>
          <w:rFonts w:ascii="Calibri" w:hAnsi="Calibri" w:cs="Calibri"/>
          <w:b/>
          <w:bCs/>
          <w:sz w:val="20"/>
          <w:szCs w:val="20"/>
        </w:rPr>
        <w:t xml:space="preserve">83: </w:t>
      </w:r>
      <w:r w:rsidRPr="00313739">
        <w:rPr>
          <w:rFonts w:ascii="Calibri" w:hAnsi="Calibri" w:cs="Calibri"/>
          <w:sz w:val="20"/>
          <w:szCs w:val="20"/>
        </w:rPr>
        <w:t>315–16.</w:t>
      </w:r>
    </w:p>
  </w:endnote>
  <w:endnote w:id="3">
    <w:p w:rsidR="00313739" w:rsidRPr="00313739" w:rsidRDefault="00313739" w:rsidP="003137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13739">
        <w:rPr>
          <w:rStyle w:val="EndnoteReference"/>
          <w:rFonts w:ascii="Calibri" w:hAnsi="Calibri" w:cs="Calibri"/>
          <w:sz w:val="20"/>
          <w:szCs w:val="20"/>
        </w:rPr>
        <w:endnoteRef/>
      </w:r>
      <w:r w:rsidRPr="00313739">
        <w:rPr>
          <w:rFonts w:ascii="Calibri" w:hAnsi="Calibri" w:cs="Calibri"/>
          <w:sz w:val="20"/>
          <w:szCs w:val="20"/>
        </w:rPr>
        <w:t xml:space="preserve"> </w:t>
      </w:r>
      <w:r w:rsidRPr="00313739">
        <w:rPr>
          <w:rFonts w:ascii="Calibri" w:hAnsi="Calibri" w:cs="Calibri"/>
          <w:sz w:val="20"/>
          <w:szCs w:val="20"/>
        </w:rPr>
        <w:t xml:space="preserve">Macfarlane SB, Jacobs M, </w:t>
      </w:r>
      <w:proofErr w:type="spellStart"/>
      <w:r w:rsidRPr="00313739">
        <w:rPr>
          <w:rFonts w:ascii="Calibri" w:hAnsi="Calibri" w:cs="Calibri"/>
          <w:sz w:val="20"/>
          <w:szCs w:val="20"/>
        </w:rPr>
        <w:t>Kaaya</w:t>
      </w:r>
      <w:proofErr w:type="spellEnd"/>
      <w:r w:rsidRPr="00313739">
        <w:rPr>
          <w:rFonts w:ascii="Calibri" w:hAnsi="Calibri" w:cs="Calibri"/>
          <w:sz w:val="20"/>
          <w:szCs w:val="20"/>
        </w:rPr>
        <w:t xml:space="preserve"> EE. In the name of global health: trends in academic institutions</w:t>
      </w:r>
      <w:r w:rsidRPr="00313739">
        <w:rPr>
          <w:rFonts w:ascii="Calibri" w:hAnsi="Calibri" w:cs="Calibri"/>
          <w:i/>
          <w:iCs/>
          <w:sz w:val="20"/>
          <w:szCs w:val="20"/>
        </w:rPr>
        <w:t xml:space="preserve">. J Public Health Policy </w:t>
      </w:r>
      <w:r w:rsidRPr="00313739">
        <w:rPr>
          <w:rFonts w:ascii="Calibri" w:hAnsi="Calibri" w:cs="Calibri"/>
          <w:sz w:val="20"/>
          <w:szCs w:val="20"/>
        </w:rPr>
        <w:t xml:space="preserve">2008; </w:t>
      </w:r>
      <w:r w:rsidRPr="00313739">
        <w:rPr>
          <w:rFonts w:ascii="Calibri" w:hAnsi="Calibri" w:cs="Calibri"/>
          <w:b/>
          <w:bCs/>
          <w:sz w:val="20"/>
          <w:szCs w:val="20"/>
        </w:rPr>
        <w:t xml:space="preserve">29: </w:t>
      </w:r>
      <w:r w:rsidRPr="00313739">
        <w:rPr>
          <w:rFonts w:ascii="Calibri" w:hAnsi="Calibri" w:cs="Calibri"/>
          <w:sz w:val="20"/>
          <w:szCs w:val="20"/>
        </w:rPr>
        <w:t>383–401.</w:t>
      </w:r>
    </w:p>
  </w:endnote>
  <w:endnote w:id="4">
    <w:p w:rsidR="00313739" w:rsidRPr="00313739" w:rsidRDefault="00313739">
      <w:pPr>
        <w:pStyle w:val="EndnoteText"/>
        <w:rPr>
          <w:rFonts w:ascii="Calibri" w:hAnsi="Calibri" w:cs="Calibri"/>
          <w:lang w:val="nl-BE"/>
        </w:rPr>
      </w:pPr>
      <w:r w:rsidRPr="00313739">
        <w:rPr>
          <w:rStyle w:val="EndnoteReference"/>
          <w:rFonts w:ascii="Calibri" w:hAnsi="Calibri" w:cs="Calibri"/>
        </w:rPr>
        <w:endnoteRef/>
      </w:r>
      <w:r w:rsidRPr="00313739">
        <w:rPr>
          <w:rFonts w:ascii="Calibri" w:hAnsi="Calibri" w:cs="Calibri"/>
        </w:rPr>
        <w:t xml:space="preserve"> </w:t>
      </w:r>
      <w:r w:rsidRPr="00313739">
        <w:rPr>
          <w:rFonts w:ascii="Calibri" w:hAnsi="Calibri" w:cs="Calibri"/>
        </w:rPr>
        <w:t xml:space="preserve">World Health Organization Maximizing Positive Synergies Collaborative Group. An assessment of interactions between global health initiatives and country health systems. </w:t>
      </w:r>
      <w:r w:rsidRPr="00313739">
        <w:rPr>
          <w:rFonts w:ascii="Calibri" w:hAnsi="Calibri" w:cs="Calibri"/>
          <w:i/>
          <w:iCs/>
        </w:rPr>
        <w:t xml:space="preserve">Lancet </w:t>
      </w:r>
      <w:r w:rsidRPr="00313739">
        <w:rPr>
          <w:rFonts w:ascii="Calibri" w:hAnsi="Calibri" w:cs="Calibri"/>
        </w:rPr>
        <w:t xml:space="preserve">2009; </w:t>
      </w:r>
      <w:r w:rsidRPr="00313739">
        <w:rPr>
          <w:rFonts w:ascii="Calibri" w:hAnsi="Calibri" w:cs="Calibri"/>
          <w:b/>
          <w:bCs/>
        </w:rPr>
        <w:t xml:space="preserve">373: </w:t>
      </w:r>
      <w:r w:rsidRPr="00313739">
        <w:rPr>
          <w:rFonts w:ascii="Calibri" w:hAnsi="Calibri" w:cs="Calibri"/>
        </w:rPr>
        <w:t>2137–69.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45" w:rsidRDefault="00443545" w:rsidP="00313739">
      <w:pPr>
        <w:spacing w:after="0" w:line="240" w:lineRule="auto"/>
      </w:pPr>
      <w:r>
        <w:separator/>
      </w:r>
    </w:p>
  </w:footnote>
  <w:footnote w:type="continuationSeparator" w:id="0">
    <w:p w:rsidR="00443545" w:rsidRDefault="00443545" w:rsidP="0031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2"/>
    <w:rsid w:val="00037F7B"/>
    <w:rsid w:val="00301892"/>
    <w:rsid w:val="00313739"/>
    <w:rsid w:val="00443545"/>
    <w:rsid w:val="00574187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5746"/>
  <w15:chartTrackingRefBased/>
  <w15:docId w15:val="{9358155A-9B3D-45A8-8C03-DED0CC6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8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37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37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3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orik.ooms@lsht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FBCA-F28D-447D-9D7D-FAD06D9E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Gorik Ooms</dc:creator>
  <cp:keywords/>
  <dc:description/>
  <cp:lastModifiedBy>Gorik Ooms</cp:lastModifiedBy>
  <cp:revision>2</cp:revision>
  <dcterms:created xsi:type="dcterms:W3CDTF">2019-01-31T08:56:00Z</dcterms:created>
  <dcterms:modified xsi:type="dcterms:W3CDTF">2019-01-31T09:30:00Z</dcterms:modified>
</cp:coreProperties>
</file>